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380"/>
          <w:tab w:val="center" w:pos="8400"/>
        </w:tabs>
        <w:kinsoku/>
        <w:overflowPunct/>
        <w:topLinePunct w:val="0"/>
        <w:autoSpaceDE/>
        <w:autoSpaceDN/>
        <w:bidi w:val="0"/>
        <w:adjustRightInd/>
        <w:spacing w:line="240" w:lineRule="atLeast"/>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舞阳县市场监督管理局</w:t>
      </w:r>
      <w:r>
        <w:rPr>
          <w:rFonts w:hint="eastAsia" w:ascii="微软雅黑" w:hAnsi="微软雅黑" w:eastAsia="微软雅黑" w:cs="微软雅黑"/>
          <w:b/>
          <w:bCs/>
          <w:sz w:val="24"/>
          <w:szCs w:val="24"/>
          <w:lang w:val="en-US" w:eastAsia="zh-CN"/>
        </w:rPr>
        <w:t>责任</w:t>
      </w:r>
      <w:r>
        <w:rPr>
          <w:rFonts w:hint="eastAsia" w:ascii="微软雅黑" w:hAnsi="微软雅黑" w:eastAsia="微软雅黑" w:cs="微软雅黑"/>
          <w:b/>
          <w:bCs/>
          <w:sz w:val="24"/>
          <w:szCs w:val="24"/>
        </w:rPr>
        <w:t>清单</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市场股</w:t>
      </w:r>
      <w:r>
        <w:rPr>
          <w:rFonts w:hint="eastAsia" w:ascii="微软雅黑" w:hAnsi="微软雅黑" w:eastAsia="微软雅黑" w:cs="微软雅黑"/>
          <w:b/>
          <w:bCs/>
          <w:sz w:val="24"/>
          <w:szCs w:val="24"/>
          <w:lang w:eastAsia="zh-CN"/>
        </w:rPr>
        <w:t>）</w:t>
      </w:r>
    </w:p>
    <w:tbl>
      <w:tblPr>
        <w:tblStyle w:val="7"/>
        <w:tblW w:w="14365"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79"/>
        <w:gridCol w:w="845"/>
        <w:gridCol w:w="9"/>
        <w:gridCol w:w="4107"/>
        <w:gridCol w:w="631"/>
        <w:gridCol w:w="20"/>
        <w:gridCol w:w="4514"/>
        <w:gridCol w:w="10"/>
        <w:gridCol w:w="699"/>
        <w:gridCol w:w="19"/>
        <w:gridCol w:w="777"/>
        <w:gridCol w:w="19"/>
        <w:gridCol w:w="1166"/>
        <w:gridCol w:w="9"/>
        <w:gridCol w:w="573"/>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8" w:type="dxa"/>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序号</w:t>
            </w:r>
          </w:p>
        </w:tc>
        <w:tc>
          <w:tcPr>
            <w:tcW w:w="379" w:type="dxa"/>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职权类别</w:t>
            </w:r>
          </w:p>
        </w:tc>
        <w:tc>
          <w:tcPr>
            <w:tcW w:w="845" w:type="dxa"/>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职权名称</w:t>
            </w:r>
          </w:p>
        </w:tc>
        <w:tc>
          <w:tcPr>
            <w:tcW w:w="4116" w:type="dxa"/>
            <w:gridSpan w:val="2"/>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bookmarkStart w:id="0" w:name="_GoBack"/>
            <w:bookmarkEnd w:id="0"/>
            <w:r>
              <w:rPr>
                <w:rFonts w:hint="eastAsia" w:ascii="微软雅黑" w:hAnsi="微软雅黑" w:eastAsia="微软雅黑" w:cs="微软雅黑"/>
                <w:b w:val="0"/>
                <w:bCs w:val="0"/>
                <w:sz w:val="15"/>
                <w:szCs w:val="15"/>
              </w:rPr>
              <w:t>实施依据</w:t>
            </w:r>
          </w:p>
        </w:tc>
        <w:tc>
          <w:tcPr>
            <w:tcW w:w="631" w:type="dxa"/>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办理环节</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责任事项</w:t>
            </w:r>
          </w:p>
        </w:tc>
        <w:tc>
          <w:tcPr>
            <w:tcW w:w="718" w:type="dxa"/>
            <w:gridSpan w:val="2"/>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责任单位</w:t>
            </w:r>
          </w:p>
        </w:tc>
        <w:tc>
          <w:tcPr>
            <w:tcW w:w="777" w:type="dxa"/>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sz w:val="15"/>
                <w:szCs w:val="15"/>
              </w:rPr>
              <w:t>承诺时限</w:t>
            </w:r>
            <w:r>
              <w:rPr>
                <w:rFonts w:hint="eastAsia" w:ascii="微软雅黑" w:hAnsi="微软雅黑" w:eastAsia="微软雅黑" w:cs="微软雅黑"/>
                <w:sz w:val="15"/>
                <w:szCs w:val="15"/>
                <w:lang w:eastAsia="zh-CN"/>
              </w:rPr>
              <w:t>（</w:t>
            </w:r>
            <w:r>
              <w:rPr>
                <w:rFonts w:hint="eastAsia" w:ascii="微软雅黑" w:hAnsi="微软雅黑" w:eastAsia="微软雅黑" w:cs="微软雅黑"/>
                <w:sz w:val="15"/>
                <w:szCs w:val="15"/>
                <w:lang w:val="en-US" w:eastAsia="zh-CN"/>
              </w:rPr>
              <w:t>工作日</w:t>
            </w:r>
            <w:r>
              <w:rPr>
                <w:rFonts w:hint="eastAsia" w:ascii="微软雅黑" w:hAnsi="微软雅黑" w:eastAsia="微软雅黑" w:cs="微软雅黑"/>
                <w:sz w:val="15"/>
                <w:szCs w:val="15"/>
                <w:lang w:eastAsia="zh-CN"/>
              </w:rPr>
              <w:t>）</w:t>
            </w:r>
          </w:p>
        </w:tc>
        <w:tc>
          <w:tcPr>
            <w:tcW w:w="1194" w:type="dxa"/>
            <w:gridSpan w:val="3"/>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法定时限</w:t>
            </w:r>
          </w:p>
        </w:tc>
        <w:tc>
          <w:tcPr>
            <w:tcW w:w="583" w:type="dxa"/>
            <w:gridSpan w:val="2"/>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eastAsia="zh-CN"/>
              </w:rPr>
            </w:pPr>
            <w:r>
              <w:rPr>
                <w:rFonts w:hint="eastAsia" w:ascii="微软雅黑" w:hAnsi="微软雅黑" w:eastAsia="微软雅黑" w:cs="微软雅黑"/>
                <w:b w:val="0"/>
                <w:bCs w:val="0"/>
                <w:sz w:val="15"/>
                <w:szCs w:val="15"/>
              </w:rPr>
              <w:t>行政</w:t>
            </w:r>
            <w:r>
              <w:rPr>
                <w:rFonts w:hint="eastAsia" w:ascii="微软雅黑" w:hAnsi="微软雅黑" w:eastAsia="微软雅黑" w:cs="微软雅黑"/>
                <w:b w:val="0"/>
                <w:bCs w:val="0"/>
                <w:sz w:val="15"/>
                <w:szCs w:val="15"/>
                <w:lang w:val="en-US" w:eastAsia="zh-CN"/>
              </w:rPr>
              <w:t>许可</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广告发布登记</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w:t>
            </w:r>
            <w:r>
              <w:rPr>
                <w:rFonts w:hint="eastAsia" w:ascii="微软雅黑" w:hAnsi="微软雅黑" w:eastAsia="微软雅黑" w:cs="微软雅黑"/>
                <w:b w:val="0"/>
                <w:bCs w:val="0"/>
                <w:sz w:val="15"/>
                <w:szCs w:val="15"/>
                <w:lang w:val="en-US" w:eastAsia="zh-CN"/>
              </w:rPr>
              <w:t>广告法》</w:t>
            </w:r>
            <w:r>
              <w:rPr>
                <w:rFonts w:hint="eastAsia" w:ascii="微软雅黑" w:hAnsi="微软雅黑" w:eastAsia="微软雅黑" w:cs="微软雅黑"/>
                <w:b w:val="0"/>
                <w:bCs w:val="0"/>
                <w:i w:val="0"/>
                <w:caps w:val="0"/>
                <w:color w:val="333333"/>
                <w:spacing w:val="5"/>
                <w:sz w:val="15"/>
                <w:szCs w:val="15"/>
                <w:shd w:val="clear" w:fill="FFFFFF"/>
              </w:rPr>
              <w:t>第二条 广播电台、电视台、报刊出版单位(以下统称广告发布单位)从事广告发布业务的，应当向所在地县级以上地方工商行政管理部门申请办理广告发布登记。</w:t>
            </w: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申请</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i w:val="0"/>
                <w:caps w:val="0"/>
                <w:color w:val="000000"/>
                <w:spacing w:val="0"/>
                <w:sz w:val="15"/>
                <w:szCs w:val="15"/>
                <w:lang w:val="en-US" w:eastAsia="zh-CN"/>
              </w:rPr>
              <w:t>提交：</w:t>
            </w:r>
            <w:r>
              <w:rPr>
                <w:rFonts w:hint="eastAsia" w:ascii="微软雅黑" w:hAnsi="微软雅黑" w:eastAsia="微软雅黑" w:cs="微软雅黑"/>
                <w:i w:val="0"/>
                <w:caps w:val="0"/>
                <w:color w:val="000000"/>
                <w:spacing w:val="0"/>
                <w:sz w:val="15"/>
                <w:szCs w:val="15"/>
              </w:rPr>
              <w:t>《广告发布登记申请表》；（二）相关媒体批准文件；（三）法人资格证明文件；（四）广告业务机构证明文件及其负责人任命文件；（五）广告从业人员和广告审查人员证明文件；（六）场所使用证明。</w:t>
            </w:r>
          </w:p>
        </w:tc>
        <w:tc>
          <w:tcPr>
            <w:tcW w:w="718"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市场监管股</w:t>
            </w:r>
          </w:p>
        </w:tc>
        <w:tc>
          <w:tcPr>
            <w:tcW w:w="777" w:type="dxa"/>
            <w:vMerge w:val="restart"/>
            <w:shd w:val="clear" w:color="auto" w:fill="auto"/>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b w:val="0"/>
                <w:bCs w:val="0"/>
                <w:kern w:val="2"/>
                <w:sz w:val="15"/>
                <w:szCs w:val="15"/>
                <w:lang w:val="en-US" w:eastAsia="zh-CN" w:bidi="ar-SA"/>
              </w:rPr>
            </w:pPr>
            <w:r>
              <w:rPr>
                <w:rFonts w:hint="eastAsia" w:ascii="微软雅黑" w:hAnsi="微软雅黑" w:eastAsia="微软雅黑" w:cs="微软雅黑"/>
                <w:kern w:val="0"/>
                <w:sz w:val="15"/>
                <w:szCs w:val="15"/>
              </w:rPr>
              <w:t>　</w:t>
            </w:r>
            <w:r>
              <w:rPr>
                <w:rFonts w:hint="eastAsia" w:ascii="微软雅黑" w:hAnsi="微软雅黑" w:eastAsia="微软雅黑" w:cs="微软雅黑"/>
                <w:kern w:val="0"/>
                <w:sz w:val="15"/>
                <w:szCs w:val="15"/>
                <w:lang w:val="en-US" w:eastAsia="zh-CN"/>
              </w:rPr>
              <w:t>1</w:t>
            </w:r>
          </w:p>
        </w:tc>
        <w:tc>
          <w:tcPr>
            <w:tcW w:w="1194" w:type="dxa"/>
            <w:gridSpan w:val="3"/>
            <w:vMerge w:val="restart"/>
            <w:shd w:val="clear" w:color="auto" w:fill="auto"/>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5</w:t>
            </w:r>
          </w:p>
        </w:tc>
        <w:tc>
          <w:tcPr>
            <w:tcW w:w="583" w:type="dxa"/>
            <w:gridSpan w:val="2"/>
            <w:vMerge w:val="restart"/>
            <w:shd w:val="clear" w:color="auto" w:fill="auto"/>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受理</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i w:val="0"/>
                <w:caps w:val="0"/>
                <w:color w:val="4C4C4C"/>
                <w:spacing w:val="0"/>
                <w:sz w:val="15"/>
                <w:szCs w:val="15"/>
                <w:shd w:val="clear" w:fill="FFFFFF"/>
              </w:rPr>
              <w:t>申请材料不齐全或不符合法定形式的，能当场补正的告知申请人当场补正，并予以协助。不能当场补正的，做出补正材料通知单，列明需补正的材料内容、补正期限。</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审查</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4C4C4C"/>
                <w:spacing w:val="0"/>
                <w:sz w:val="15"/>
                <w:szCs w:val="15"/>
                <w:shd w:val="clear" w:fill="FFFFFF"/>
              </w:rPr>
              <w:t>对申请人提交的资料，逐项对照检查申报材料是否齐全，是否在有效期内，是否符合广告发布登记的条件</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核准</w:t>
            </w:r>
          </w:p>
        </w:tc>
        <w:tc>
          <w:tcPr>
            <w:tcW w:w="4544" w:type="dxa"/>
            <w:gridSpan w:val="3"/>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right="0"/>
              <w:textAlignment w:val="auto"/>
              <w:rPr>
                <w:rFonts w:hint="eastAsia" w:ascii="微软雅黑" w:hAnsi="微软雅黑" w:eastAsia="微软雅黑" w:cs="微软雅黑"/>
                <w:i w:val="0"/>
                <w:caps w:val="0"/>
                <w:color w:val="4C4C4C"/>
                <w:spacing w:val="0"/>
                <w:sz w:val="15"/>
                <w:szCs w:val="15"/>
              </w:rPr>
            </w:pPr>
            <w:r>
              <w:rPr>
                <w:rFonts w:hint="eastAsia" w:ascii="微软雅黑" w:hAnsi="微软雅黑" w:eastAsia="微软雅黑" w:cs="微软雅黑"/>
                <w:i w:val="0"/>
                <w:caps w:val="0"/>
                <w:color w:val="4C4C4C"/>
                <w:spacing w:val="0"/>
                <w:sz w:val="15"/>
                <w:szCs w:val="15"/>
                <w:shd w:val="clear" w:fill="FFFFFF"/>
              </w:rPr>
              <w:t>准予登记的，颁发</w:t>
            </w:r>
            <w:r>
              <w:rPr>
                <w:rFonts w:hint="eastAsia" w:ascii="微软雅黑" w:hAnsi="微软雅黑" w:eastAsia="微软雅黑" w:cs="微软雅黑"/>
                <w:i w:val="0"/>
                <w:caps w:val="0"/>
                <w:color w:val="4C4C4C"/>
                <w:spacing w:val="0"/>
                <w:sz w:val="15"/>
                <w:szCs w:val="15"/>
                <w:shd w:val="clear" w:fill="FFFFFF"/>
              </w:rPr>
              <w:t>《准予广告发布登记的通知书》。</w:t>
            </w:r>
            <w:r>
              <w:rPr>
                <w:rFonts w:hint="eastAsia" w:ascii="微软雅黑" w:hAnsi="微软雅黑" w:eastAsia="微软雅黑" w:cs="微软雅黑"/>
                <w:i w:val="0"/>
                <w:caps w:val="0"/>
                <w:color w:val="4C4C4C"/>
                <w:spacing w:val="0"/>
                <w:sz w:val="15"/>
                <w:szCs w:val="15"/>
                <w:shd w:val="clear" w:fill="FFFFFF"/>
              </w:rPr>
              <w:t>不予登记的，颁发</w:t>
            </w:r>
            <w:r>
              <w:rPr>
                <w:rFonts w:hint="eastAsia" w:ascii="微软雅黑" w:hAnsi="微软雅黑" w:eastAsia="微软雅黑" w:cs="微软雅黑"/>
                <w:i w:val="0"/>
                <w:caps w:val="0"/>
                <w:color w:val="4C4C4C"/>
                <w:spacing w:val="0"/>
                <w:sz w:val="15"/>
                <w:szCs w:val="15"/>
                <w:shd w:val="clear" w:fill="FFFFFF"/>
              </w:rPr>
              <w:t>《不予广告发布登记的通知书》</w:t>
            </w:r>
            <w:r>
              <w:rPr>
                <w:rFonts w:hint="eastAsia" w:ascii="微软雅黑" w:hAnsi="微软雅黑" w:eastAsia="微软雅黑" w:cs="微软雅黑"/>
                <w:i w:val="0"/>
                <w:caps w:val="0"/>
                <w:color w:val="4C4C4C"/>
                <w:spacing w:val="0"/>
                <w:sz w:val="15"/>
                <w:szCs w:val="15"/>
                <w:shd w:val="clear" w:fill="FFFFFF"/>
              </w:rPr>
              <w:t>，并书面说明理由。</w:t>
            </w:r>
          </w:p>
          <w:p>
            <w:pPr>
              <w:keepNext w:val="0"/>
              <w:keepLines w:val="0"/>
              <w:pageBreakBefore w:val="0"/>
              <w:kinsoku/>
              <w:wordWrap/>
              <w:overflowPunct/>
              <w:topLinePunct w:val="0"/>
              <w:autoSpaceDE/>
              <w:autoSpaceDN/>
              <w:bidi w:val="0"/>
              <w:adjustRightInd/>
              <w:snapToGrid w:val="0"/>
              <w:spacing w:line="240" w:lineRule="atLeast"/>
              <w:textAlignment w:val="auto"/>
              <w:rPr>
                <w:rFonts w:hint="eastAsia" w:ascii="微软雅黑" w:hAnsi="微软雅黑" w:eastAsia="微软雅黑" w:cs="微软雅黑"/>
                <w:sz w:val="15"/>
                <w:szCs w:val="15"/>
              </w:rPr>
            </w:pP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w:t>
            </w: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eastAsia="zh-CN"/>
              </w:rPr>
            </w:pPr>
            <w:r>
              <w:rPr>
                <w:rFonts w:hint="eastAsia" w:ascii="微软雅黑" w:hAnsi="微软雅黑" w:eastAsia="微软雅黑" w:cs="微软雅黑"/>
                <w:b w:val="0"/>
                <w:bCs w:val="0"/>
                <w:sz w:val="15"/>
                <w:szCs w:val="15"/>
              </w:rPr>
              <w:t>行政</w:t>
            </w:r>
            <w:r>
              <w:rPr>
                <w:rFonts w:hint="eastAsia" w:ascii="微软雅黑" w:hAnsi="微软雅黑" w:eastAsia="微软雅黑" w:cs="微软雅黑"/>
                <w:b w:val="0"/>
                <w:bCs w:val="0"/>
                <w:sz w:val="15"/>
                <w:szCs w:val="15"/>
                <w:lang w:val="en-US" w:eastAsia="zh-CN"/>
              </w:rPr>
              <w:t>许可</w:t>
            </w:r>
          </w:p>
        </w:tc>
        <w:tc>
          <w:tcPr>
            <w:tcW w:w="845" w:type="dxa"/>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i w:val="0"/>
                <w:color w:val="000000"/>
                <w:kern w:val="0"/>
                <w:sz w:val="15"/>
                <w:szCs w:val="15"/>
                <w:u w:val="none"/>
                <w:lang w:val="en-US" w:eastAsia="zh-CN" w:bidi="ar"/>
              </w:rPr>
              <w:t>广告发布变更登记登记</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w:t>
            </w:r>
            <w:r>
              <w:rPr>
                <w:rFonts w:hint="eastAsia" w:ascii="微软雅黑" w:hAnsi="微软雅黑" w:eastAsia="微软雅黑" w:cs="微软雅黑"/>
                <w:b w:val="0"/>
                <w:bCs w:val="0"/>
                <w:sz w:val="15"/>
                <w:szCs w:val="15"/>
                <w:lang w:val="en-US" w:eastAsia="zh-CN"/>
              </w:rPr>
              <w:t>广告法》</w:t>
            </w:r>
            <w:r>
              <w:rPr>
                <w:rFonts w:hint="eastAsia" w:ascii="微软雅黑" w:hAnsi="微软雅黑" w:eastAsia="微软雅黑" w:cs="微软雅黑"/>
                <w:b w:val="0"/>
                <w:bCs w:val="0"/>
                <w:i w:val="0"/>
                <w:caps w:val="0"/>
                <w:color w:val="333333"/>
                <w:spacing w:val="5"/>
                <w:sz w:val="15"/>
                <w:szCs w:val="15"/>
                <w:shd w:val="clear" w:fill="FFFFFF"/>
              </w:rPr>
              <w:t>第八条 广告发布登记事项发生变化的，广告发布单位应当自该事项发生变化之日起三十日内向工商行政管理部门申请变更登记。</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申请</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i w:val="0"/>
                <w:caps w:val="0"/>
                <w:color w:val="000000"/>
                <w:spacing w:val="0"/>
                <w:sz w:val="15"/>
                <w:szCs w:val="15"/>
              </w:rPr>
              <w:t>提交《广告发布变更登记申请表》和与变更事项相关的证明文件</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市场监管股</w:t>
            </w:r>
          </w:p>
        </w:tc>
        <w:tc>
          <w:tcPr>
            <w:tcW w:w="777" w:type="dxa"/>
            <w:vMerge w:val="restart"/>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kern w:val="0"/>
                <w:sz w:val="15"/>
                <w:szCs w:val="15"/>
              </w:rPr>
              <w:t>　</w:t>
            </w:r>
            <w:r>
              <w:rPr>
                <w:rFonts w:hint="eastAsia" w:ascii="微软雅黑" w:hAnsi="微软雅黑" w:eastAsia="微软雅黑" w:cs="微软雅黑"/>
                <w:kern w:val="0"/>
                <w:sz w:val="15"/>
                <w:szCs w:val="15"/>
                <w:lang w:val="en-US" w:eastAsia="zh-CN"/>
              </w:rPr>
              <w:t>1</w:t>
            </w:r>
          </w:p>
        </w:tc>
        <w:tc>
          <w:tcPr>
            <w:tcW w:w="1194" w:type="dxa"/>
            <w:gridSpan w:val="3"/>
            <w:vMerge w:val="restart"/>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5</w:t>
            </w:r>
          </w:p>
        </w:tc>
        <w:tc>
          <w:tcPr>
            <w:tcW w:w="583" w:type="dxa"/>
            <w:gridSpan w:val="2"/>
            <w:vMerge w:val="restart"/>
            <w:vAlign w:val="center"/>
          </w:tcPr>
          <w:p>
            <w:pPr>
              <w:keepNext w:val="0"/>
              <w:keepLines w:val="0"/>
              <w:pageBreakBefore w:val="0"/>
              <w:widowControl/>
              <w:kinsoku/>
              <w:overflowPunct/>
              <w:topLinePunct w:val="0"/>
              <w:autoSpaceDE/>
              <w:autoSpaceDN/>
              <w:bidi w:val="0"/>
              <w:adjustRightInd/>
              <w:spacing w:line="240" w:lineRule="atLeast"/>
              <w:jc w:val="left"/>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受理</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i w:val="0"/>
                <w:caps w:val="0"/>
                <w:color w:val="4C4C4C"/>
                <w:spacing w:val="0"/>
                <w:sz w:val="15"/>
                <w:szCs w:val="15"/>
                <w:shd w:val="clear" w:fill="FFFFFF"/>
              </w:rPr>
              <w:t>申请材料不齐全或不符合法定形式的，能当场补正的告知申请人当场补正，并予以协助。不能当场补正的，做出补正材料通知单，列明需补正的材料内容、补正期限。</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1</w:t>
            </w: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审查</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i w:val="0"/>
                <w:caps w:val="0"/>
                <w:color w:val="4C4C4C"/>
                <w:spacing w:val="0"/>
                <w:sz w:val="15"/>
                <w:szCs w:val="15"/>
                <w:shd w:val="clear" w:fill="FFFFFF"/>
              </w:rPr>
              <w:t>对申请人提交的资料，逐项对照检查申报材料是否齐全，是否在有效期内，是否符合广告发布登记的条件</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核准</w:t>
            </w:r>
          </w:p>
        </w:tc>
        <w:tc>
          <w:tcPr>
            <w:tcW w:w="4544" w:type="dxa"/>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right="0"/>
              <w:textAlignment w:val="auto"/>
              <w:rPr>
                <w:rFonts w:hint="eastAsia" w:ascii="微软雅黑" w:hAnsi="微软雅黑" w:eastAsia="微软雅黑" w:cs="微软雅黑"/>
                <w:i w:val="0"/>
                <w:caps w:val="0"/>
                <w:color w:val="4C4C4C"/>
                <w:spacing w:val="0"/>
                <w:sz w:val="15"/>
                <w:szCs w:val="15"/>
              </w:rPr>
            </w:pPr>
            <w:r>
              <w:rPr>
                <w:rFonts w:hint="eastAsia" w:ascii="微软雅黑" w:hAnsi="微软雅黑" w:eastAsia="微软雅黑" w:cs="微软雅黑"/>
                <w:i w:val="0"/>
                <w:caps w:val="0"/>
                <w:color w:val="4C4C4C"/>
                <w:spacing w:val="0"/>
                <w:sz w:val="15"/>
                <w:szCs w:val="15"/>
                <w:shd w:val="clear" w:fill="FFFFFF"/>
              </w:rPr>
              <w:t>准予</w:t>
            </w:r>
            <w:r>
              <w:rPr>
                <w:rFonts w:hint="eastAsia" w:ascii="微软雅黑" w:hAnsi="微软雅黑" w:eastAsia="微软雅黑" w:cs="微软雅黑"/>
                <w:i w:val="0"/>
                <w:caps w:val="0"/>
                <w:color w:val="4C4C4C"/>
                <w:spacing w:val="0"/>
                <w:sz w:val="15"/>
                <w:szCs w:val="15"/>
                <w:shd w:val="clear" w:fill="FFFFFF"/>
                <w:lang w:val="en-US" w:eastAsia="zh-CN"/>
              </w:rPr>
              <w:t>变更</w:t>
            </w:r>
            <w:r>
              <w:rPr>
                <w:rFonts w:hint="eastAsia" w:ascii="微软雅黑" w:hAnsi="微软雅黑" w:eastAsia="微软雅黑" w:cs="微软雅黑"/>
                <w:i w:val="0"/>
                <w:caps w:val="0"/>
                <w:color w:val="4C4C4C"/>
                <w:spacing w:val="0"/>
                <w:sz w:val="15"/>
                <w:szCs w:val="15"/>
                <w:shd w:val="clear" w:fill="FFFFFF"/>
              </w:rPr>
              <w:t>登记的，颁发</w:t>
            </w:r>
            <w:r>
              <w:rPr>
                <w:rFonts w:hint="eastAsia" w:ascii="微软雅黑" w:hAnsi="微软雅黑" w:eastAsia="微软雅黑" w:cs="微软雅黑"/>
                <w:i w:val="0"/>
                <w:caps w:val="0"/>
                <w:color w:val="4C4C4C"/>
                <w:spacing w:val="0"/>
                <w:sz w:val="15"/>
                <w:szCs w:val="15"/>
                <w:shd w:val="clear" w:fill="FFFFFF"/>
              </w:rPr>
              <w:t>《准予广告</w:t>
            </w:r>
            <w:r>
              <w:rPr>
                <w:rFonts w:hint="eastAsia" w:ascii="微软雅黑" w:hAnsi="微软雅黑" w:eastAsia="微软雅黑" w:cs="微软雅黑"/>
                <w:i w:val="0"/>
                <w:caps w:val="0"/>
                <w:color w:val="4C4C4C"/>
                <w:spacing w:val="0"/>
                <w:sz w:val="15"/>
                <w:szCs w:val="15"/>
                <w:shd w:val="clear" w:fill="FFFFFF"/>
                <w:lang w:val="en-US" w:eastAsia="zh-CN"/>
              </w:rPr>
              <w:t>变更</w:t>
            </w:r>
            <w:r>
              <w:rPr>
                <w:rFonts w:hint="eastAsia" w:ascii="微软雅黑" w:hAnsi="微软雅黑" w:eastAsia="微软雅黑" w:cs="微软雅黑"/>
                <w:i w:val="0"/>
                <w:caps w:val="0"/>
                <w:color w:val="4C4C4C"/>
                <w:spacing w:val="0"/>
                <w:sz w:val="15"/>
                <w:szCs w:val="15"/>
                <w:shd w:val="clear" w:fill="FFFFFF"/>
              </w:rPr>
              <w:t>登记的通知书》。</w:t>
            </w:r>
            <w:r>
              <w:rPr>
                <w:rFonts w:hint="eastAsia" w:ascii="微软雅黑" w:hAnsi="微软雅黑" w:eastAsia="微软雅黑" w:cs="微软雅黑"/>
                <w:i w:val="0"/>
                <w:caps w:val="0"/>
                <w:color w:val="4C4C4C"/>
                <w:spacing w:val="0"/>
                <w:sz w:val="15"/>
                <w:szCs w:val="15"/>
                <w:shd w:val="clear" w:fill="FFFFFF"/>
              </w:rPr>
              <w:t>不予</w:t>
            </w:r>
            <w:r>
              <w:rPr>
                <w:rFonts w:hint="eastAsia" w:ascii="微软雅黑" w:hAnsi="微软雅黑" w:eastAsia="微软雅黑" w:cs="微软雅黑"/>
                <w:i w:val="0"/>
                <w:caps w:val="0"/>
                <w:color w:val="4C4C4C"/>
                <w:spacing w:val="0"/>
                <w:sz w:val="15"/>
                <w:szCs w:val="15"/>
                <w:shd w:val="clear" w:fill="FFFFFF"/>
                <w:lang w:val="en-US" w:eastAsia="zh-CN"/>
              </w:rPr>
              <w:t>变更</w:t>
            </w:r>
            <w:r>
              <w:rPr>
                <w:rFonts w:hint="eastAsia" w:ascii="微软雅黑" w:hAnsi="微软雅黑" w:eastAsia="微软雅黑" w:cs="微软雅黑"/>
                <w:i w:val="0"/>
                <w:caps w:val="0"/>
                <w:color w:val="4C4C4C"/>
                <w:spacing w:val="0"/>
                <w:sz w:val="15"/>
                <w:szCs w:val="15"/>
                <w:shd w:val="clear" w:fill="FFFFFF"/>
              </w:rPr>
              <w:t>登记的，颁发</w:t>
            </w:r>
            <w:r>
              <w:rPr>
                <w:rFonts w:hint="eastAsia" w:ascii="微软雅黑" w:hAnsi="微软雅黑" w:eastAsia="微软雅黑" w:cs="微软雅黑"/>
                <w:i w:val="0"/>
                <w:caps w:val="0"/>
                <w:color w:val="4C4C4C"/>
                <w:spacing w:val="0"/>
                <w:sz w:val="15"/>
                <w:szCs w:val="15"/>
                <w:shd w:val="clear" w:fill="FFFFFF"/>
              </w:rPr>
              <w:t>《不予广告</w:t>
            </w:r>
            <w:r>
              <w:rPr>
                <w:rFonts w:hint="eastAsia" w:ascii="微软雅黑" w:hAnsi="微软雅黑" w:eastAsia="微软雅黑" w:cs="微软雅黑"/>
                <w:i w:val="0"/>
                <w:caps w:val="0"/>
                <w:color w:val="4C4C4C"/>
                <w:spacing w:val="0"/>
                <w:sz w:val="15"/>
                <w:szCs w:val="15"/>
                <w:shd w:val="clear" w:fill="FFFFFF"/>
                <w:lang w:val="en-US" w:eastAsia="zh-CN"/>
              </w:rPr>
              <w:t>变更</w:t>
            </w:r>
            <w:r>
              <w:rPr>
                <w:rFonts w:hint="eastAsia" w:ascii="微软雅黑" w:hAnsi="微软雅黑" w:eastAsia="微软雅黑" w:cs="微软雅黑"/>
                <w:i w:val="0"/>
                <w:caps w:val="0"/>
                <w:color w:val="4C4C4C"/>
                <w:spacing w:val="0"/>
                <w:sz w:val="15"/>
                <w:szCs w:val="15"/>
                <w:shd w:val="clear" w:fill="FFFFFF"/>
              </w:rPr>
              <w:t>发布登记的通知书》</w:t>
            </w:r>
            <w:r>
              <w:rPr>
                <w:rFonts w:hint="eastAsia" w:ascii="微软雅黑" w:hAnsi="微软雅黑" w:eastAsia="微软雅黑" w:cs="微软雅黑"/>
                <w:i w:val="0"/>
                <w:caps w:val="0"/>
                <w:color w:val="4C4C4C"/>
                <w:spacing w:val="0"/>
                <w:sz w:val="15"/>
                <w:szCs w:val="15"/>
                <w:shd w:val="clear" w:fill="FFFFFF"/>
              </w:rPr>
              <w:t>，并书面说明理由。</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行政许可</w:t>
            </w:r>
          </w:p>
        </w:tc>
        <w:tc>
          <w:tcPr>
            <w:tcW w:w="845"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b w:val="0"/>
                <w:bCs w:val="0"/>
                <w:i w:val="0"/>
                <w:color w:val="000000"/>
                <w:kern w:val="0"/>
                <w:sz w:val="15"/>
                <w:szCs w:val="15"/>
                <w:u w:val="none"/>
                <w:lang w:val="en-US" w:eastAsia="zh-CN" w:bidi="ar"/>
              </w:rPr>
              <w:t>广告发布注销登记登记</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i w:val="0"/>
                <w:caps w:val="0"/>
                <w:color w:val="000000"/>
                <w:spacing w:val="0"/>
                <w:sz w:val="18"/>
                <w:szCs w:val="18"/>
              </w:rPr>
              <w:t>第九条 有下列情形之一的，广告发布单位应当及时向工商行政管理部门申请注销登记:（一）广告发布登记有效期届满且广告发布单位未申请延续的；（二）广告发布单位法人资格依法终止的；（三）广告发布登记依法被撤销或者被吊销的；（四）广告发布单位由于情况发生变化不具备本规定第四条规定的条件的；（五）广告发布单位停止从事广告发布的；（六）依法应当注销广告发布登记的其他情形。</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申请</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i w:val="0"/>
                <w:caps w:val="0"/>
                <w:color w:val="000000"/>
                <w:spacing w:val="0"/>
                <w:sz w:val="15"/>
                <w:szCs w:val="15"/>
              </w:rPr>
              <w:t>提交《广告发布</w:t>
            </w:r>
            <w:r>
              <w:rPr>
                <w:rFonts w:hint="eastAsia" w:ascii="微软雅黑" w:hAnsi="微软雅黑" w:eastAsia="微软雅黑" w:cs="微软雅黑"/>
                <w:i w:val="0"/>
                <w:caps w:val="0"/>
                <w:color w:val="000000"/>
                <w:spacing w:val="0"/>
                <w:sz w:val="15"/>
                <w:szCs w:val="15"/>
                <w:lang w:val="en-US" w:eastAsia="zh-CN"/>
              </w:rPr>
              <w:t>注销</w:t>
            </w:r>
            <w:r>
              <w:rPr>
                <w:rFonts w:hint="eastAsia" w:ascii="微软雅黑" w:hAnsi="微软雅黑" w:eastAsia="微软雅黑" w:cs="微软雅黑"/>
                <w:i w:val="0"/>
                <w:caps w:val="0"/>
                <w:color w:val="000000"/>
                <w:spacing w:val="0"/>
                <w:sz w:val="15"/>
                <w:szCs w:val="15"/>
              </w:rPr>
              <w:t>登记申请表》和与</w:t>
            </w:r>
            <w:r>
              <w:rPr>
                <w:rFonts w:hint="eastAsia" w:ascii="微软雅黑" w:hAnsi="微软雅黑" w:eastAsia="微软雅黑" w:cs="微软雅黑"/>
                <w:i w:val="0"/>
                <w:caps w:val="0"/>
                <w:color w:val="000000"/>
                <w:spacing w:val="0"/>
                <w:sz w:val="15"/>
                <w:szCs w:val="15"/>
                <w:lang w:val="en-US" w:eastAsia="zh-CN"/>
              </w:rPr>
              <w:t>注销</w:t>
            </w:r>
            <w:r>
              <w:rPr>
                <w:rFonts w:hint="eastAsia" w:ascii="微软雅黑" w:hAnsi="微软雅黑" w:eastAsia="微软雅黑" w:cs="微软雅黑"/>
                <w:i w:val="0"/>
                <w:caps w:val="0"/>
                <w:color w:val="000000"/>
                <w:spacing w:val="0"/>
                <w:sz w:val="15"/>
                <w:szCs w:val="15"/>
              </w:rPr>
              <w:t>事项相关的证明文件</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1</w:t>
            </w: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5</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受理</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i w:val="0"/>
                <w:caps w:val="0"/>
                <w:color w:val="4C4C4C"/>
                <w:spacing w:val="0"/>
                <w:sz w:val="15"/>
                <w:szCs w:val="15"/>
                <w:shd w:val="clear" w:fill="FFFFFF"/>
              </w:rPr>
              <w:t>申请材料不齐全或不符合法定形式的，能当场补正的告知申请人当场补正，并予以协助。不能当场补正的，做出补正材料通知单，列明需补正的材料内容、补正期限。</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审查</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i w:val="0"/>
                <w:caps w:val="0"/>
                <w:color w:val="4C4C4C"/>
                <w:spacing w:val="0"/>
                <w:sz w:val="15"/>
                <w:szCs w:val="15"/>
                <w:shd w:val="clear" w:fill="FFFFFF"/>
              </w:rPr>
              <w:t>对申请人提交的资料，逐项对照检查申报材料是否齐全，是否在有效期内，是否符合广告</w:t>
            </w:r>
            <w:r>
              <w:rPr>
                <w:rFonts w:hint="eastAsia" w:ascii="微软雅黑" w:hAnsi="微软雅黑" w:eastAsia="微软雅黑" w:cs="微软雅黑"/>
                <w:i w:val="0"/>
                <w:caps w:val="0"/>
                <w:color w:val="4C4C4C"/>
                <w:spacing w:val="0"/>
                <w:sz w:val="15"/>
                <w:szCs w:val="15"/>
                <w:shd w:val="clear" w:fill="FFFFFF"/>
                <w:lang w:val="en-US" w:eastAsia="zh-CN"/>
              </w:rPr>
              <w:t>注销</w:t>
            </w:r>
            <w:r>
              <w:rPr>
                <w:rFonts w:hint="eastAsia" w:ascii="微软雅黑" w:hAnsi="微软雅黑" w:eastAsia="微软雅黑" w:cs="微软雅黑"/>
                <w:i w:val="0"/>
                <w:caps w:val="0"/>
                <w:color w:val="4C4C4C"/>
                <w:spacing w:val="0"/>
                <w:sz w:val="15"/>
                <w:szCs w:val="15"/>
                <w:shd w:val="clear" w:fill="FFFFFF"/>
              </w:rPr>
              <w:t>登记的条件</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r>
              <w:rPr>
                <w:rFonts w:hint="eastAsia" w:ascii="微软雅黑" w:hAnsi="微软雅黑" w:eastAsia="微软雅黑" w:cs="微软雅黑"/>
                <w:b w:val="0"/>
                <w:bCs w:val="0"/>
                <w:i w:val="0"/>
                <w:caps w:val="0"/>
                <w:color w:val="333333"/>
                <w:spacing w:val="5"/>
                <w:sz w:val="15"/>
                <w:szCs w:val="15"/>
                <w:shd w:val="clear" w:fill="FFFFFF"/>
                <w:lang w:val="en-US" w:eastAsia="zh-CN"/>
              </w:rPr>
              <w:t>核准</w:t>
            </w:r>
          </w:p>
        </w:tc>
        <w:tc>
          <w:tcPr>
            <w:tcW w:w="4544" w:type="dxa"/>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right="0"/>
              <w:textAlignment w:val="auto"/>
              <w:rPr>
                <w:rFonts w:hint="eastAsia" w:ascii="微软雅黑" w:hAnsi="微软雅黑" w:eastAsia="微软雅黑" w:cs="微软雅黑"/>
                <w:i w:val="0"/>
                <w:caps w:val="0"/>
                <w:color w:val="4C4C4C"/>
                <w:spacing w:val="0"/>
                <w:sz w:val="15"/>
                <w:szCs w:val="15"/>
              </w:rPr>
            </w:pPr>
            <w:r>
              <w:rPr>
                <w:rFonts w:hint="eastAsia" w:ascii="微软雅黑" w:hAnsi="微软雅黑" w:eastAsia="微软雅黑" w:cs="微软雅黑"/>
                <w:i w:val="0"/>
                <w:caps w:val="0"/>
                <w:color w:val="4C4C4C"/>
                <w:spacing w:val="0"/>
                <w:sz w:val="15"/>
                <w:szCs w:val="15"/>
                <w:shd w:val="clear" w:fill="FFFFFF"/>
              </w:rPr>
              <w:t>准予</w:t>
            </w:r>
            <w:r>
              <w:rPr>
                <w:rFonts w:hint="eastAsia" w:ascii="微软雅黑" w:hAnsi="微软雅黑" w:eastAsia="微软雅黑" w:cs="微软雅黑"/>
                <w:i w:val="0"/>
                <w:caps w:val="0"/>
                <w:color w:val="4C4C4C"/>
                <w:spacing w:val="0"/>
                <w:sz w:val="15"/>
                <w:szCs w:val="15"/>
                <w:shd w:val="clear" w:fill="FFFFFF"/>
                <w:lang w:val="en-US" w:eastAsia="zh-CN"/>
              </w:rPr>
              <w:t>注销</w:t>
            </w:r>
            <w:r>
              <w:rPr>
                <w:rFonts w:hint="eastAsia" w:ascii="微软雅黑" w:hAnsi="微软雅黑" w:eastAsia="微软雅黑" w:cs="微软雅黑"/>
                <w:i w:val="0"/>
                <w:caps w:val="0"/>
                <w:color w:val="4C4C4C"/>
                <w:spacing w:val="0"/>
                <w:sz w:val="15"/>
                <w:szCs w:val="15"/>
                <w:shd w:val="clear" w:fill="FFFFFF"/>
              </w:rPr>
              <w:t>的，</w:t>
            </w:r>
            <w:r>
              <w:rPr>
                <w:rFonts w:hint="eastAsia" w:ascii="微软雅黑" w:hAnsi="微软雅黑" w:eastAsia="微软雅黑" w:cs="微软雅黑"/>
                <w:i w:val="0"/>
                <w:caps w:val="0"/>
                <w:color w:val="4C4C4C"/>
                <w:spacing w:val="0"/>
                <w:sz w:val="15"/>
                <w:szCs w:val="15"/>
                <w:shd w:val="clear" w:fill="FFFFFF"/>
                <w:lang w:val="en-US" w:eastAsia="zh-CN"/>
              </w:rPr>
              <w:t>收缴</w:t>
            </w:r>
            <w:r>
              <w:rPr>
                <w:rFonts w:hint="eastAsia" w:ascii="微软雅黑" w:hAnsi="微软雅黑" w:eastAsia="微软雅黑" w:cs="微软雅黑"/>
                <w:i w:val="0"/>
                <w:caps w:val="0"/>
                <w:color w:val="4C4C4C"/>
                <w:spacing w:val="0"/>
                <w:sz w:val="15"/>
                <w:szCs w:val="15"/>
                <w:shd w:val="clear" w:fill="FFFFFF"/>
              </w:rPr>
              <w:t>《广告发布登记》。</w:t>
            </w:r>
            <w:r>
              <w:rPr>
                <w:rFonts w:hint="eastAsia" w:ascii="微软雅黑" w:hAnsi="微软雅黑" w:eastAsia="微软雅黑" w:cs="微软雅黑"/>
                <w:i w:val="0"/>
                <w:caps w:val="0"/>
                <w:color w:val="4C4C4C"/>
                <w:spacing w:val="0"/>
                <w:sz w:val="15"/>
                <w:szCs w:val="15"/>
                <w:shd w:val="clear" w:fill="FFFFFF"/>
              </w:rPr>
              <w:t>不予</w:t>
            </w:r>
            <w:r>
              <w:rPr>
                <w:rFonts w:hint="eastAsia" w:ascii="微软雅黑" w:hAnsi="微软雅黑" w:eastAsia="微软雅黑" w:cs="微软雅黑"/>
                <w:i w:val="0"/>
                <w:caps w:val="0"/>
                <w:color w:val="4C4C4C"/>
                <w:spacing w:val="0"/>
                <w:sz w:val="15"/>
                <w:szCs w:val="15"/>
                <w:shd w:val="clear" w:fill="FFFFFF"/>
                <w:lang w:val="en-US" w:eastAsia="zh-CN"/>
              </w:rPr>
              <w:t>注销</w:t>
            </w:r>
            <w:r>
              <w:rPr>
                <w:rFonts w:hint="eastAsia" w:ascii="微软雅黑" w:hAnsi="微软雅黑" w:eastAsia="微软雅黑" w:cs="微软雅黑"/>
                <w:i w:val="0"/>
                <w:caps w:val="0"/>
                <w:color w:val="4C4C4C"/>
                <w:spacing w:val="0"/>
                <w:sz w:val="15"/>
                <w:szCs w:val="15"/>
                <w:shd w:val="clear" w:fill="FFFFFF"/>
              </w:rPr>
              <w:t>的，书面说明理由。</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333333"/>
                <w:spacing w:val="5"/>
                <w:sz w:val="15"/>
                <w:szCs w:val="15"/>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eastAsia="zh-CN"/>
              </w:rPr>
            </w:pPr>
            <w:r>
              <w:rPr>
                <w:rFonts w:hint="eastAsia" w:ascii="微软雅黑" w:hAnsi="微软雅黑" w:eastAsia="微软雅黑" w:cs="微软雅黑"/>
                <w:b w:val="0"/>
                <w:bCs w:val="0"/>
                <w:sz w:val="15"/>
                <w:szCs w:val="15"/>
              </w:rPr>
              <w:t>行政</w:t>
            </w:r>
            <w:r>
              <w:rPr>
                <w:rFonts w:hint="eastAsia" w:ascii="微软雅黑" w:hAnsi="微软雅黑" w:eastAsia="微软雅黑" w:cs="微软雅黑"/>
                <w:b w:val="0"/>
                <w:bCs w:val="0"/>
                <w:sz w:val="15"/>
                <w:szCs w:val="15"/>
                <w:lang w:val="en-US" w:eastAsia="zh-CN"/>
              </w:rPr>
              <w:t>强制</w:t>
            </w:r>
          </w:p>
        </w:tc>
        <w:tc>
          <w:tcPr>
            <w:tcW w:w="845" w:type="dxa"/>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查封、扣押直销企业与直销活动有关的材料和非法财物</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《直销管理条例》第三十五条第一款：工商行政管理部门负责对直销企业和直销员及其直销活动实施日常的监督管理。工商行政管理部门可以采取下列措施进行现场检查：　　（一）进入相关企业进行检查；　　（二）要求相关企业提供有关文件、资料和证明材料；　　（三）询问当事人、利害关系人和其他有关人员，并要求其提供有关材料；　　（四）查阅、复制、查封、扣押相关企业与直销活动有关的材料和非法财物；　　（五）检查有关人员的直销培训员证、直销员证等证件。</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报批</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对涉嫌违法行为报请机关负责人同意</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30日，情况复杂，经部门负责人批准，可以延长不超过30日。法律法规另有规定的除外。</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当场告 知</w:t>
            </w:r>
          </w:p>
        </w:tc>
        <w:tc>
          <w:tcPr>
            <w:tcW w:w="4544" w:type="dxa"/>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300" w:afterAutospacing="0" w:line="240" w:lineRule="atLeast"/>
              <w:ind w:right="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b w:val="0"/>
                <w:bCs w:val="0"/>
                <w:sz w:val="15"/>
                <w:szCs w:val="15"/>
                <w:lang w:val="en-US" w:eastAsia="zh-CN"/>
              </w:rPr>
              <w:t>两名执法人员到场；通知当事人或邀请见证人到场；</w:t>
            </w:r>
            <w:r>
              <w:rPr>
                <w:rFonts w:hint="eastAsia" w:ascii="微软雅黑" w:hAnsi="微软雅黑" w:eastAsia="微软雅黑" w:cs="微软雅黑"/>
                <w:i w:val="0"/>
                <w:caps w:val="0"/>
                <w:color w:val="333333"/>
                <w:spacing w:val="0"/>
                <w:sz w:val="15"/>
                <w:szCs w:val="15"/>
              </w:rPr>
              <w:t>当场告知当事人采取行政强制措施的理由、依据及当事人依法享有的权利、救济途径</w:t>
            </w:r>
            <w:r>
              <w:rPr>
                <w:rFonts w:hint="eastAsia" w:ascii="微软雅黑" w:hAnsi="微软雅黑" w:eastAsia="微软雅黑" w:cs="微软雅黑"/>
                <w:i w:val="0"/>
                <w:caps w:val="0"/>
                <w:color w:val="333333"/>
                <w:spacing w:val="0"/>
                <w:sz w:val="15"/>
                <w:szCs w:val="15"/>
                <w:lang w:eastAsia="zh-CN"/>
              </w:rPr>
              <w:t>；</w:t>
            </w:r>
            <w:r>
              <w:rPr>
                <w:rFonts w:hint="eastAsia" w:ascii="微软雅黑" w:hAnsi="微软雅黑" w:eastAsia="微软雅黑" w:cs="微软雅黑"/>
                <w:i w:val="0"/>
                <w:caps w:val="0"/>
                <w:color w:val="333333"/>
                <w:spacing w:val="0"/>
                <w:sz w:val="15"/>
                <w:szCs w:val="15"/>
              </w:rPr>
              <w:t>听取当事人的陈述和申辩</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现场笔录</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由当事人或见证人、执法人员签字盖章确认；送达行政强制决定书。</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查封扣押</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交付查封扣押清单；对物品需要检测检验检疫或技术鉴定的，书面告知起止时间，费用由行政机关负担。</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处理决定</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30日内查清事实，做出处理决定；情况复杂的经行政机关负责人批准扣押延长期限，但不得超过30日。法律法规另有规定的除外。符合解除条件的，应当及时做出解除决定。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按照案卷规范要求归档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eastAsia="zh-CN"/>
              </w:rPr>
            </w:pPr>
            <w:r>
              <w:rPr>
                <w:rFonts w:hint="eastAsia" w:ascii="微软雅黑" w:hAnsi="微软雅黑" w:eastAsia="微软雅黑" w:cs="微软雅黑"/>
                <w:b w:val="0"/>
                <w:bCs w:val="0"/>
                <w:sz w:val="15"/>
                <w:szCs w:val="15"/>
              </w:rPr>
              <w:t>行政</w:t>
            </w:r>
            <w:r>
              <w:rPr>
                <w:rFonts w:hint="eastAsia" w:ascii="微软雅黑" w:hAnsi="微软雅黑" w:eastAsia="微软雅黑" w:cs="微软雅黑"/>
                <w:b w:val="0"/>
                <w:bCs w:val="0"/>
                <w:sz w:val="15"/>
                <w:szCs w:val="15"/>
                <w:lang w:val="en-US" w:eastAsia="zh-CN"/>
              </w:rPr>
              <w:t>强制</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查封、扣押涉嫌传销的资料和专门用于传销的财物，查封涉嫌传销的经营场所</w:t>
            </w:r>
          </w:p>
        </w:tc>
        <w:tc>
          <w:tcPr>
            <w:tcW w:w="4116"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禁止传销条例》（2005年8月23日国务院令第444号）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报批</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对涉嫌违法行为报请机关负责人同意</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3030日，情况复杂，经部门负责人批准，可以延长不超过30日。法律法规另有规定的除外。</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kern w:val="2"/>
                <w:sz w:val="15"/>
                <w:szCs w:val="15"/>
                <w:lang w:val="en-US" w:eastAsia="zh-CN" w:bidi="ar-SA"/>
              </w:rPr>
            </w:pPr>
            <w:r>
              <w:rPr>
                <w:rFonts w:hint="eastAsia" w:ascii="微软雅黑" w:hAnsi="微软雅黑" w:eastAsia="微软雅黑" w:cs="微软雅黑"/>
                <w:b w:val="0"/>
                <w:bCs w:val="0"/>
                <w:sz w:val="15"/>
                <w:szCs w:val="15"/>
                <w:lang w:val="en-US" w:eastAsia="zh-CN"/>
              </w:rPr>
              <w:t>当场告知</w:t>
            </w:r>
          </w:p>
        </w:tc>
        <w:tc>
          <w:tcPr>
            <w:tcW w:w="4544" w:type="dxa"/>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300" w:afterAutospacing="0" w:line="240" w:lineRule="atLeast"/>
              <w:ind w:left="0" w:right="0" w:firstLine="420"/>
              <w:rPr>
                <w:rFonts w:hint="eastAsia" w:ascii="微软雅黑" w:hAnsi="微软雅黑" w:eastAsia="微软雅黑" w:cs="微软雅黑"/>
                <w:i w:val="0"/>
                <w:caps w:val="0"/>
                <w:color w:val="333333"/>
                <w:spacing w:val="0"/>
                <w:sz w:val="15"/>
                <w:szCs w:val="15"/>
                <w:lang w:eastAsia="zh-CN"/>
              </w:rPr>
            </w:pPr>
            <w:r>
              <w:rPr>
                <w:rFonts w:hint="eastAsia" w:ascii="微软雅黑" w:hAnsi="微软雅黑" w:eastAsia="微软雅黑" w:cs="微软雅黑"/>
                <w:b w:val="0"/>
                <w:bCs w:val="0"/>
                <w:sz w:val="15"/>
                <w:szCs w:val="15"/>
                <w:lang w:val="en-US" w:eastAsia="zh-CN"/>
              </w:rPr>
              <w:t>两名执法人员到场；通知当事人或邀请见证人到场；</w:t>
            </w:r>
            <w:r>
              <w:rPr>
                <w:rFonts w:hint="eastAsia" w:ascii="微软雅黑" w:hAnsi="微软雅黑" w:eastAsia="微软雅黑" w:cs="微软雅黑"/>
                <w:i w:val="0"/>
                <w:caps w:val="0"/>
                <w:color w:val="333333"/>
                <w:spacing w:val="0"/>
                <w:sz w:val="15"/>
                <w:szCs w:val="15"/>
              </w:rPr>
              <w:t>当场告知当事人采取行政强制措施的理由、依据及当事人依法享有的权利、救济途径</w:t>
            </w:r>
            <w:r>
              <w:rPr>
                <w:rFonts w:hint="eastAsia" w:ascii="微软雅黑" w:hAnsi="微软雅黑" w:eastAsia="微软雅黑" w:cs="微软雅黑"/>
                <w:i w:val="0"/>
                <w:caps w:val="0"/>
                <w:color w:val="333333"/>
                <w:spacing w:val="0"/>
                <w:sz w:val="15"/>
                <w:szCs w:val="15"/>
                <w:lang w:eastAsia="zh-CN"/>
              </w:rPr>
              <w:t>；</w:t>
            </w:r>
            <w:r>
              <w:rPr>
                <w:rFonts w:hint="eastAsia" w:ascii="微软雅黑" w:hAnsi="微软雅黑" w:eastAsia="微软雅黑" w:cs="微软雅黑"/>
                <w:i w:val="0"/>
                <w:caps w:val="0"/>
                <w:color w:val="333333"/>
                <w:spacing w:val="0"/>
                <w:sz w:val="15"/>
                <w:szCs w:val="15"/>
              </w:rPr>
              <w:t>听取当事人的陈述和申辩</w:t>
            </w:r>
            <w:r>
              <w:rPr>
                <w:rFonts w:hint="eastAsia" w:ascii="微软雅黑" w:hAnsi="微软雅黑" w:eastAsia="微软雅黑" w:cs="微软雅黑"/>
                <w:i w:val="0"/>
                <w:caps w:val="0"/>
                <w:color w:val="333333"/>
                <w:spacing w:val="0"/>
                <w:sz w:val="15"/>
                <w:szCs w:val="15"/>
                <w:lang w:eastAsia="zh-CN"/>
              </w:rPr>
              <w:t>。</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kern w:val="2"/>
                <w:sz w:val="15"/>
                <w:szCs w:val="15"/>
                <w:lang w:val="en-US" w:eastAsia="zh-CN" w:bidi="ar-SA"/>
              </w:rPr>
            </w:pP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kern w:val="2"/>
                <w:sz w:val="15"/>
                <w:szCs w:val="15"/>
                <w:lang w:val="en-US" w:eastAsia="zh-CN" w:bidi="ar-SA"/>
              </w:rPr>
            </w:pPr>
            <w:r>
              <w:rPr>
                <w:rFonts w:hint="eastAsia" w:ascii="微软雅黑" w:hAnsi="微软雅黑" w:eastAsia="微软雅黑" w:cs="微软雅黑"/>
                <w:b w:val="0"/>
                <w:bCs w:val="0"/>
                <w:sz w:val="15"/>
                <w:szCs w:val="15"/>
                <w:lang w:val="en-US" w:eastAsia="zh-CN"/>
              </w:rPr>
              <w:t>制作现场笔录</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kern w:val="2"/>
                <w:sz w:val="15"/>
                <w:szCs w:val="15"/>
                <w:lang w:val="en-US" w:eastAsia="zh-CN" w:bidi="ar-SA"/>
              </w:rPr>
            </w:pPr>
            <w:r>
              <w:rPr>
                <w:rFonts w:hint="eastAsia" w:ascii="微软雅黑" w:hAnsi="微软雅黑" w:eastAsia="微软雅黑" w:cs="微软雅黑"/>
                <w:b w:val="0"/>
                <w:bCs w:val="0"/>
                <w:sz w:val="15"/>
                <w:szCs w:val="15"/>
                <w:lang w:val="en-US" w:eastAsia="zh-CN"/>
              </w:rPr>
              <w:t>由当事人或见证人、执法人员签字盖章确认；送达行政强制决定书。</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查封扣押</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交付查封扣押清单；对物品需要检测检验检疫或技术鉴定的，书面告知起止时间，费用由行政机关负担。</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处理决定</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30日内查清事实，做出处理决定；情况复杂的经行政机关负责人批准扣押延长期限，但不得超过30日。法律法规另有规定的除外。符合解除条件的，应当及时做出解除决定。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按照案卷规范要求归档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eastAsia="zh-CN"/>
              </w:rPr>
            </w:pPr>
            <w:r>
              <w:rPr>
                <w:rFonts w:hint="eastAsia" w:ascii="微软雅黑" w:hAnsi="微软雅黑" w:eastAsia="微软雅黑" w:cs="微软雅黑"/>
                <w:b w:val="0"/>
                <w:bCs w:val="0"/>
                <w:sz w:val="15"/>
                <w:szCs w:val="15"/>
              </w:rPr>
              <w:t>行政</w:t>
            </w:r>
            <w:r>
              <w:rPr>
                <w:rFonts w:hint="eastAsia" w:ascii="微软雅黑" w:hAnsi="微软雅黑" w:eastAsia="微软雅黑" w:cs="微软雅黑"/>
                <w:b w:val="0"/>
                <w:bCs w:val="0"/>
                <w:sz w:val="15"/>
                <w:szCs w:val="15"/>
                <w:lang w:val="en-US" w:eastAsia="zh-CN"/>
              </w:rPr>
              <w:t>强制</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责令暂停销售、封存、扣留、冻结与不正当竞争有关商品</w:t>
            </w:r>
          </w:p>
        </w:tc>
        <w:tc>
          <w:tcPr>
            <w:tcW w:w="4116" w:type="dxa"/>
            <w:gridSpan w:val="2"/>
            <w:vMerge w:val="restart"/>
            <w:vAlign w:val="center"/>
          </w:tcPr>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第十三条：</w:t>
            </w:r>
            <w:r>
              <w:rPr>
                <w:rFonts w:hint="eastAsia" w:ascii="微软雅黑" w:hAnsi="微软雅黑" w:eastAsia="微软雅黑" w:cs="微软雅黑"/>
                <w:b w:val="0"/>
                <w:bCs w:val="0"/>
                <w:i w:val="0"/>
                <w:caps w:val="0"/>
                <w:color w:val="000000"/>
                <w:spacing w:val="0"/>
                <w:sz w:val="15"/>
                <w:szCs w:val="15"/>
                <w:shd w:val="clear" w:fill="FFFFFF"/>
              </w:rPr>
              <w:t>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三）查询、复制与涉嫌不正当竞争行为有关的协议、账簿、单据、文件、记录、业务函电和其他资料；（四）查封、扣押与涉嫌不正当竞争行为有关的财物；（五）查询涉嫌不正当竞争行为的经营者的银行账户。采取前款规定的措施，应当向监督检查部门主要负责人书面报告，并经批准。采取前款第四项、第五项规定的措施，应当向设区的市级以上人民政府监督检查部门主要负责人书面报告，并经批准。监督检查部门调查涉嫌不正当竞争行为，应当遵守《中华人民共和国行政强制法》和其他有关法律、行政法规的规定，并应当将查处结果及时向社会公开。</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报批</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对涉嫌违法行为报请机关负责人同意</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30日，情况复杂，经部门负责人批准，可以延长不超过30日。法律法规另有规定的除外。</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kern w:val="0"/>
                <w:sz w:val="15"/>
                <w:szCs w:val="15"/>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当场告知</w:t>
            </w:r>
          </w:p>
        </w:tc>
        <w:tc>
          <w:tcPr>
            <w:tcW w:w="4544" w:type="dxa"/>
            <w:gridSpan w:val="3"/>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300" w:afterAutospacing="0" w:line="240" w:lineRule="atLeast"/>
              <w:ind w:right="0"/>
              <w:rPr>
                <w:rFonts w:hint="eastAsia" w:ascii="微软雅黑" w:hAnsi="微软雅黑" w:eastAsia="微软雅黑" w:cs="微软雅黑"/>
                <w:i w:val="0"/>
                <w:caps w:val="0"/>
                <w:color w:val="333333"/>
                <w:spacing w:val="0"/>
                <w:sz w:val="15"/>
                <w:szCs w:val="15"/>
                <w:lang w:eastAsia="zh-CN"/>
              </w:rPr>
            </w:pPr>
            <w:r>
              <w:rPr>
                <w:rFonts w:hint="eastAsia" w:ascii="微软雅黑" w:hAnsi="微软雅黑" w:eastAsia="微软雅黑" w:cs="微软雅黑"/>
                <w:b w:val="0"/>
                <w:bCs w:val="0"/>
                <w:sz w:val="15"/>
                <w:szCs w:val="15"/>
                <w:lang w:val="en-US" w:eastAsia="zh-CN"/>
              </w:rPr>
              <w:t>两名执法人员到场；通知当事人或邀请见证人到场；</w:t>
            </w:r>
            <w:r>
              <w:rPr>
                <w:rFonts w:hint="eastAsia" w:ascii="微软雅黑" w:hAnsi="微软雅黑" w:eastAsia="微软雅黑" w:cs="微软雅黑"/>
                <w:i w:val="0"/>
                <w:caps w:val="0"/>
                <w:color w:val="333333"/>
                <w:spacing w:val="0"/>
                <w:sz w:val="15"/>
                <w:szCs w:val="15"/>
              </w:rPr>
              <w:t>当场告知当事人采取行政强制措施的理由、依据及当事人依法享有的权利、救济途径</w:t>
            </w:r>
            <w:r>
              <w:rPr>
                <w:rFonts w:hint="eastAsia" w:ascii="微软雅黑" w:hAnsi="微软雅黑" w:eastAsia="微软雅黑" w:cs="微软雅黑"/>
                <w:i w:val="0"/>
                <w:caps w:val="0"/>
                <w:color w:val="333333"/>
                <w:spacing w:val="0"/>
                <w:sz w:val="15"/>
                <w:szCs w:val="15"/>
                <w:lang w:eastAsia="zh-CN"/>
              </w:rPr>
              <w:t>；</w:t>
            </w:r>
            <w:r>
              <w:rPr>
                <w:rFonts w:hint="eastAsia" w:ascii="微软雅黑" w:hAnsi="微软雅黑" w:eastAsia="微软雅黑" w:cs="微软雅黑"/>
                <w:i w:val="0"/>
                <w:caps w:val="0"/>
                <w:color w:val="333333"/>
                <w:spacing w:val="0"/>
                <w:sz w:val="15"/>
                <w:szCs w:val="15"/>
              </w:rPr>
              <w:t>听取当事人的陈述和申辩</w:t>
            </w:r>
            <w:r>
              <w:rPr>
                <w:rFonts w:hint="eastAsia" w:ascii="微软雅黑" w:hAnsi="微软雅黑" w:eastAsia="微软雅黑" w:cs="微软雅黑"/>
                <w:i w:val="0"/>
                <w:caps w:val="0"/>
                <w:color w:val="333333"/>
                <w:spacing w:val="0"/>
                <w:sz w:val="15"/>
                <w:szCs w:val="15"/>
                <w:lang w:eastAsia="zh-CN"/>
              </w:rPr>
              <w:t>。</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制作现场笔录</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由当事人或见证人、执法人员签字盖章确认；送达行政强制决定书。</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查封扣押</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交付查封扣押清单；对物品需要检测检验检疫或技术鉴定的，书面告知起止时间，费用由行政机关负担。</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处理决定</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30日内查清事实，做出处理决定；情况复杂的经行政机关负责人批准扣押延长期限，但不得超过30日。法律法规另有规定的除外。符合解除条件的，应当及时做出解除决定。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经营者商业贿赂的处罚</w:t>
            </w:r>
          </w:p>
        </w:tc>
        <w:tc>
          <w:tcPr>
            <w:tcW w:w="4116" w:type="dxa"/>
            <w:gridSpan w:val="2"/>
            <w:vMerge w:val="restart"/>
            <w:vAlign w:val="center"/>
          </w:tcPr>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i w:val="0"/>
                <w:caps w:val="0"/>
                <w:color w:val="666666"/>
                <w:spacing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rPr>
              <w:t>第七条经营者不得采用财物或者其他手段贿赂下列单位或者个人，以谋取交易机会或者竞争优势：（一）交易相对方的工作人员；（二）受交易相对方委托办理相关事务的单位或者个人；（三）利用职权或者影响力影响交易的单位或者个人。第十九条　经营者违反本法第七条规定贿赂他人的，由监督检查部门没收违法所得，处十万元以上三百万元以下的罚款。情节严重的，吊销营业执照。</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777" w:type="dxa"/>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44" w:type="dxa"/>
            <w:gridSpan w:val="3"/>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经营者对商品作引人误解虚假宣传的处罚</w:t>
            </w:r>
          </w:p>
        </w:tc>
        <w:tc>
          <w:tcPr>
            <w:tcW w:w="4116" w:type="dxa"/>
            <w:gridSpan w:val="2"/>
            <w:vMerge w:val="restart"/>
            <w:vAlign w:val="center"/>
          </w:tcPr>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i w:val="0"/>
                <w:caps w:val="0"/>
                <w:color w:val="666666"/>
                <w:spacing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rPr>
              <w:t>第八条经营者不得对其商品的性能、功能、质量、销售状况、用户评价、曾获荣誉等作虚假或者引人误解的商业宣传，欺骗、误导消费者。经营者不得通过组织虚假交易等方式，帮助其他经营者进行虚假或者引人误解的商业宣传。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i w:val="0"/>
                <w:caps w:val="0"/>
                <w:color w:val="666666"/>
                <w:spacing w:val="0"/>
                <w:sz w:val="15"/>
                <w:szCs w:val="15"/>
              </w:rPr>
            </w:pPr>
            <w:r>
              <w:rPr>
                <w:rFonts w:hint="eastAsia" w:ascii="微软雅黑" w:hAnsi="微软雅黑" w:eastAsia="微软雅黑" w:cs="微软雅黑"/>
                <w:b w:val="0"/>
                <w:bCs w:val="0"/>
                <w:i w:val="0"/>
                <w:caps w:val="0"/>
                <w:color w:val="000000"/>
                <w:spacing w:val="0"/>
                <w:sz w:val="15"/>
                <w:szCs w:val="15"/>
                <w:shd w:val="clear" w:fill="FFFFFF"/>
              </w:rPr>
              <w:t>经营者违反本法第八条规定，属于发布虚假广告的，依照《中华人民共和国广告法》的规定处罚。</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调查取证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草拟《调查终结报告》，分管负责人主持集体讨论决定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办案机构制作的《处罚告知书》报主管负责人审批后，送达当事人。</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陈述申辩听证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《行政处罚决定审批表》报主管负责人审批。重大复杂疑难案件，由案审会集体讨论决定。直接送达、邮寄送达、委托送达。</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执行与结案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8</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经营者侵犯商业秘密的处罚</w:t>
            </w:r>
          </w:p>
        </w:tc>
        <w:tc>
          <w:tcPr>
            <w:tcW w:w="4116" w:type="dxa"/>
            <w:gridSpan w:val="2"/>
            <w:vMerge w:val="restart"/>
            <w:vAlign w:val="center"/>
          </w:tcPr>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i w:val="0"/>
                <w:caps w:val="0"/>
                <w:color w:val="666666"/>
                <w:spacing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rPr>
              <w:t>第九条　经营者不得实施下列侵犯商业秘密的行为：（一）以盗窃、贿赂、欺诈、胁迫、电子侵入或者其他不正当手段获取权利人的商业秘密；（二）披露、使用或者允许他人使用以前项手段获取的权利人的商业秘密；（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调查取证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陈述申辩听证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执行与结案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9</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经营者不正当有奖销售的处罚</w:t>
            </w:r>
          </w:p>
        </w:tc>
        <w:tc>
          <w:tcPr>
            <w:tcW w:w="4116" w:type="dxa"/>
            <w:gridSpan w:val="2"/>
            <w:vMerge w:val="restart"/>
            <w:vAlign w:val="center"/>
          </w:tcPr>
          <w:p>
            <w:pPr>
              <w:pStyle w:val="6"/>
              <w:keepNext w:val="0"/>
              <w:keepLines w:val="0"/>
              <w:pageBreakBefore w:val="0"/>
              <w:widowControl/>
              <w:suppressLineNumbers w:val="0"/>
              <w:shd w:val="clear" w:fill="FFFFFF"/>
              <w:kinsoku/>
              <w:wordWrap w:val="0"/>
              <w:overflowPunct/>
              <w:topLinePunct w:val="0"/>
              <w:autoSpaceDE/>
              <w:autoSpaceDN/>
              <w:bidi w:val="0"/>
              <w:adjustRightInd/>
              <w:spacing w:line="240" w:lineRule="atLeast"/>
              <w:ind w:left="0" w:firstLine="0"/>
              <w:jc w:val="left"/>
              <w:rPr>
                <w:rFonts w:hint="eastAsia" w:ascii="微软雅黑" w:hAnsi="微软雅黑" w:eastAsia="微软雅黑" w:cs="微软雅黑"/>
                <w:b w:val="0"/>
                <w:bCs w:val="0"/>
                <w:i w:val="0"/>
                <w:caps w:val="0"/>
                <w:color w:val="666666"/>
                <w:spacing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rPr>
              <w:t>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第二十二条　经营者违反本法第十条规定进行有奖销售的，由监督检查部门责令停止违法行为，处五万元以上五十万元以下的罚款。</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调查取证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陈述申辩听证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执行与结案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10</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经营者商业诋毁的处罚</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lang w:val="en-US" w:eastAsia="zh-CN"/>
              </w:rPr>
              <w:t>反不正当竞争法</w:t>
            </w:r>
            <w:r>
              <w:rPr>
                <w:rFonts w:hint="eastAsia" w:ascii="微软雅黑" w:hAnsi="微软雅黑" w:eastAsia="微软雅黑" w:cs="微软雅黑"/>
                <w:b w:val="0"/>
                <w:bCs w:val="0"/>
                <w:i w:val="0"/>
                <w:caps w:val="0"/>
                <w:color w:val="000000"/>
                <w:spacing w:val="0"/>
                <w:sz w:val="15"/>
                <w:szCs w:val="15"/>
                <w:shd w:val="clear" w:fill="FFFFFF"/>
                <w:lang w:eastAsia="zh-CN"/>
              </w:rPr>
              <w:t>》</w:t>
            </w:r>
            <w:r>
              <w:rPr>
                <w:rFonts w:hint="eastAsia" w:ascii="微软雅黑" w:hAnsi="微软雅黑" w:eastAsia="微软雅黑" w:cs="微软雅黑"/>
                <w:b w:val="0"/>
                <w:bCs w:val="0"/>
                <w:i w:val="0"/>
                <w:caps w:val="0"/>
                <w:color w:val="000000"/>
                <w:spacing w:val="0"/>
                <w:sz w:val="15"/>
                <w:szCs w:val="15"/>
                <w:shd w:val="clear" w:fill="FFFFFF"/>
              </w:rPr>
              <w:t>第十一条　经营者不得编造、传播虚假信息或者误导性信息，损害竞争对手的商业信誉、商品声誉。第二十三条　经营者违反本法第十一条规定损害竞争对手商业信誉、商品声誉的，由监督检查部门责令停止违法行为、消除影响，处十万元以上五十万元以下的罚款；情节严重的，处五十万元以上三百万元以下的罚款。</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立案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调查取证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草拟《调查终结报告》，分管负责人主持集体讨论决定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主管负责人对《处罚告知书》审批后，送达当事人。</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陈述申辩听证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执行与结案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shd w:val="clear"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11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行政处罚</w:t>
            </w:r>
          </w:p>
        </w:tc>
        <w:tc>
          <w:tcPr>
            <w:tcW w:w="845" w:type="dxa"/>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b w:val="0"/>
                <w:bCs w:val="0"/>
                <w:i w:val="0"/>
                <w:color w:val="000000"/>
                <w:kern w:val="2"/>
                <w:sz w:val="15"/>
                <w:szCs w:val="15"/>
                <w:u w:val="none"/>
                <w:lang w:val="en-US" w:eastAsia="zh-CN" w:bidi="ar-SA"/>
              </w:rPr>
            </w:pPr>
            <w:r>
              <w:rPr>
                <w:rFonts w:hint="eastAsia" w:ascii="微软雅黑" w:hAnsi="微软雅黑" w:eastAsia="微软雅黑" w:cs="微软雅黑"/>
                <w:b w:val="0"/>
                <w:bCs w:val="0"/>
                <w:i w:val="0"/>
                <w:color w:val="000000"/>
                <w:kern w:val="0"/>
                <w:sz w:val="15"/>
                <w:szCs w:val="15"/>
                <w:u w:val="none"/>
                <w:lang w:val="en-US" w:eastAsia="zh-CN" w:bidi="ar"/>
              </w:rPr>
              <w:t>经营者采取联合方式进行不正当竞争的处罚。</w:t>
            </w:r>
          </w:p>
        </w:tc>
        <w:tc>
          <w:tcPr>
            <w:tcW w:w="4116"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河南省反不正当竞争条例》第三十六条：经营者采取联合方式进行不正当竞争的，监督检查部门应责令其改正，并可以根据情节，对联合各方分别处以一万元以上二十万元以下的罚款。其中，情节较轻的，处以一万元以上五万元以下的罚款；情节严重的，处以五万元以上十万元以下的罚款；情节恶劣，造成重大后果的，处以十万元以上二十万元以下的罚款。</w:t>
            </w: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18"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77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3"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调查取证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草拟《调查终结报告》，分管负责人主持集体讨论决定。</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陈述申辩听证</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执行与结案</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845" w:type="dxa"/>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4116"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631"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立卷归档</w:t>
            </w:r>
          </w:p>
        </w:tc>
        <w:tc>
          <w:tcPr>
            <w:tcW w:w="4544" w:type="dxa"/>
            <w:gridSpan w:val="3"/>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18"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77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1194"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c>
          <w:tcPr>
            <w:tcW w:w="583"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经营者强买强卖、欺行霸市以及其他方法强迫对方接受不合理条件的处罚</w:t>
            </w:r>
          </w:p>
        </w:tc>
        <w:tc>
          <w:tcPr>
            <w:tcW w:w="4107"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河南省反不正当竞争条例》（2010年修正本）第三十七条：“经营者在经营活动中，实施强买强卖、欺行霸市以及其他方法强迫对方接受不合理的交易条件的，监督检查部门应责令其改正，并根据情节处以五百元以上一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擅自转移、隐匿、销毁因不正当竞争责令被暂停销售财物的处罚</w:t>
            </w:r>
          </w:p>
        </w:tc>
        <w:tc>
          <w:tcPr>
            <w:tcW w:w="4107"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333333"/>
                <w:spacing w:val="0"/>
                <w:sz w:val="15"/>
                <w:szCs w:val="15"/>
                <w:shd w:val="clear" w:fill="FFFFFF"/>
              </w:rPr>
              <w:t>《中华人民共和国反不正当竞争法》第二十八条:“经营者有违反被责令暂停销售,不得转移、隐匿、销毁与不正当竞争行为有关的财物的行为的,监督检查部门可以根据情节处以被销售、转移、隐匿、销毁财物的价款的一倍以上三倍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主管负责人对《处罚告知书》审批后，送达当事人。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9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514" w:type="dxa"/>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未经批准擅自从事直销活动的处罚</w:t>
            </w:r>
          </w:p>
        </w:tc>
        <w:tc>
          <w:tcPr>
            <w:tcW w:w="4107"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i w:val="0"/>
                <w:caps w:val="0"/>
                <w:color w:val="000000"/>
                <w:spacing w:val="0"/>
                <w:sz w:val="15"/>
                <w:szCs w:val="15"/>
                <w:lang w:eastAsia="zh-CN"/>
              </w:rPr>
              <w:t>《</w:t>
            </w:r>
            <w:r>
              <w:rPr>
                <w:rFonts w:hint="eastAsia" w:ascii="微软雅黑" w:hAnsi="微软雅黑" w:eastAsia="微软雅黑" w:cs="微软雅黑"/>
                <w:b w:val="0"/>
                <w:bCs w:val="0"/>
                <w:i w:val="0"/>
                <w:caps w:val="0"/>
                <w:color w:val="000000"/>
                <w:spacing w:val="0"/>
                <w:sz w:val="15"/>
                <w:szCs w:val="15"/>
                <w:lang w:val="en-US" w:eastAsia="zh-CN"/>
              </w:rPr>
              <w:t>直销管理条例</w:t>
            </w:r>
            <w:r>
              <w:rPr>
                <w:rFonts w:hint="eastAsia" w:ascii="微软雅黑" w:hAnsi="微软雅黑" w:eastAsia="微软雅黑" w:cs="微软雅黑"/>
                <w:b w:val="0"/>
                <w:bCs w:val="0"/>
                <w:i w:val="0"/>
                <w:caps w:val="0"/>
                <w:color w:val="000000"/>
                <w:spacing w:val="0"/>
                <w:sz w:val="15"/>
                <w:szCs w:val="15"/>
                <w:lang w:eastAsia="zh-CN"/>
              </w:rPr>
              <w:t>》</w:t>
            </w:r>
            <w:r>
              <w:rPr>
                <w:rFonts w:hint="eastAsia" w:ascii="微软雅黑" w:hAnsi="微软雅黑" w:eastAsia="微软雅黑" w:cs="微软雅黑"/>
                <w:b w:val="0"/>
                <w:bCs w:val="0"/>
                <w:i w:val="0"/>
                <w:caps w:val="0"/>
                <w:color w:val="000000"/>
                <w:spacing w:val="0"/>
                <w:sz w:val="15"/>
                <w:szCs w:val="15"/>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47"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主管负责人对《处罚告知书》审批后，送达当事人。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54"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4107"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1166" w:type="dxa"/>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i w:val="0"/>
                <w:caps w:val="0"/>
                <w:color w:val="000000"/>
                <w:spacing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17"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通过欺骗、贿赂等手段取得直销经营许可或者直销业务分支机构许可的处罚</w:t>
            </w:r>
          </w:p>
        </w:tc>
        <w:tc>
          <w:tcPr>
            <w:tcW w:w="4107" w:type="dxa"/>
            <w:vMerge w:val="restart"/>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微软雅黑" w:hAnsi="微软雅黑" w:eastAsia="微软雅黑" w:cs="微软雅黑"/>
                <w:b w:val="0"/>
                <w:bCs w:val="0"/>
                <w:i w:val="0"/>
                <w:caps w:val="0"/>
                <w:color w:val="000000"/>
                <w:spacing w:val="0"/>
                <w:sz w:val="15"/>
                <w:szCs w:val="15"/>
              </w:rPr>
            </w:pPr>
            <w:r>
              <w:rPr>
                <w:rFonts w:hint="eastAsia" w:ascii="微软雅黑" w:hAnsi="微软雅黑" w:eastAsia="微软雅黑" w:cs="微软雅黑"/>
                <w:b w:val="0"/>
                <w:bCs w:val="0"/>
                <w:i w:val="0"/>
                <w:caps w:val="0"/>
                <w:color w:val="000000"/>
                <w:spacing w:val="0"/>
                <w:sz w:val="15"/>
                <w:szCs w:val="15"/>
              </w:rPr>
              <w:t>第九条　申请人应当通过所在地省、自治区、直辖市商务主管部门向国务院商务主</w:t>
            </w:r>
            <w:r>
              <w:rPr>
                <w:rFonts w:hint="eastAsia" w:ascii="微软雅黑" w:hAnsi="微软雅黑" w:eastAsia="微软雅黑" w:cs="微软雅黑"/>
                <w:b w:val="0"/>
                <w:bCs w:val="0"/>
                <w:i w:val="0"/>
                <w:caps w:val="0"/>
                <w:color w:val="000000"/>
                <w:spacing w:val="0"/>
                <w:sz w:val="15"/>
                <w:szCs w:val="15"/>
                <w:lang w:val="en-US" w:eastAsia="zh-CN"/>
              </w:rPr>
              <w:t>管</w:t>
            </w:r>
            <w:r>
              <w:rPr>
                <w:rFonts w:hint="eastAsia" w:ascii="微软雅黑" w:hAnsi="微软雅黑" w:eastAsia="微软雅黑" w:cs="微软雅黑"/>
                <w:b w:val="0"/>
                <w:bCs w:val="0"/>
                <w:i w:val="0"/>
                <w:caps w:val="0"/>
                <w:color w:val="000000"/>
                <w:spacing w:val="0"/>
                <w:sz w:val="15"/>
                <w:szCs w:val="15"/>
              </w:rPr>
              <w:t>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微软雅黑" w:hAnsi="微软雅黑" w:eastAsia="微软雅黑" w:cs="微软雅黑"/>
                <w:b w:val="0"/>
                <w:bCs w:val="0"/>
                <w:i w:val="0"/>
                <w:caps w:val="0"/>
                <w:color w:val="000000"/>
                <w:spacing w:val="0"/>
                <w:sz w:val="15"/>
                <w:szCs w:val="15"/>
              </w:rPr>
            </w:pPr>
            <w:r>
              <w:rPr>
                <w:rFonts w:hint="eastAsia" w:ascii="微软雅黑" w:hAnsi="微软雅黑" w:eastAsia="微软雅黑" w:cs="微软雅黑"/>
                <w:b w:val="0"/>
                <w:bCs w:val="0"/>
                <w:i w:val="0"/>
                <w:caps w:val="0"/>
                <w:color w:val="000000"/>
                <w:spacing w:val="0"/>
                <w:sz w:val="15"/>
                <w:szCs w:val="15"/>
              </w:rPr>
              <w:t>　　申请人持国务院商务主管部门颁发的直销经营许可证，依法向工商行政管理部门申请变更登记。 第十条　直销企业从事直销活动，必须在拟从事直销活动的省、自治区、直辖市设立负责该行政区域内直销业务的分支机构(以下简称分支机构)。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微软雅黑" w:hAnsi="微软雅黑" w:eastAsia="微软雅黑" w:cs="微软雅黑"/>
                <w:b w:val="0"/>
                <w:bCs w:val="0"/>
                <w:i w:val="0"/>
                <w:caps w:val="0"/>
                <w:color w:val="000000"/>
                <w:spacing w:val="0"/>
                <w:sz w:val="15"/>
                <w:szCs w:val="15"/>
              </w:rPr>
            </w:pPr>
            <w:r>
              <w:rPr>
                <w:rFonts w:hint="eastAsia" w:ascii="微软雅黑" w:hAnsi="微软雅黑" w:eastAsia="微软雅黑" w:cs="微软雅黑"/>
                <w:b w:val="0"/>
                <w:bCs w:val="0"/>
                <w:i w:val="0"/>
                <w:caps w:val="0"/>
                <w:color w:val="000000"/>
                <w:spacing w:val="0"/>
                <w:sz w:val="15"/>
                <w:szCs w:val="15"/>
              </w:rPr>
              <w:t>　　　　直销企业申请设立分支机构，应当提供符合前款规定条件的证明文件和资料，并应当依照本条例第九条第一款规定的程序提出申请。获得批准后，依法向工商行政管理部门办理登记。</w:t>
            </w:r>
          </w:p>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 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b w:val="0"/>
                <w:bCs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auto"/>
                <w:kern w:val="2"/>
                <w:sz w:val="15"/>
                <w:szCs w:val="15"/>
                <w:u w:val="none"/>
                <w:lang w:val="en-US" w:eastAsia="zh-CN" w:bidi="ar-SA"/>
              </w:rPr>
            </w:pPr>
            <w:r>
              <w:rPr>
                <w:rFonts w:hint="eastAsia" w:ascii="微软雅黑" w:hAnsi="微软雅黑" w:eastAsia="微软雅黑" w:cs="微软雅黑"/>
                <w:i w:val="0"/>
                <w:color w:val="auto"/>
                <w:kern w:val="0"/>
                <w:sz w:val="15"/>
                <w:szCs w:val="15"/>
                <w:u w:val="none"/>
                <w:lang w:val="en-US" w:eastAsia="zh-CN" w:bidi="ar"/>
              </w:rPr>
              <w:t>直销企业有关申请事项发生重大变更，未报经国务院商务主管部门批准的处罚</w:t>
            </w:r>
          </w:p>
        </w:tc>
        <w:tc>
          <w:tcPr>
            <w:tcW w:w="4107" w:type="dxa"/>
            <w:vMerge w:val="restart"/>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第八条　申请成为直销企业应当填写申请表，并提交下列申请文件、资料：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(一)符合本条例第七条规定条件的证明材料;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(二)企业章程，属于中外合资、合作企业的，还应当提供合资或者合作企业合同;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(三)市场计划报告书，包括依照本条例第十条规定拟定的经当地县级以上人民政府认可的从事直销活动地区的服务网点方案;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(四)符合国家标准的产品说明;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(五)拟与直销员签订的推销合同样本;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(六)会计师事务所出具的验资报告;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(七)企业与指定银行达成的同意依照本条例规定使用保证金的协议。</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第十一条　直销企业有关本条例第八条所列内容发生重大变更的，应当依照本条例第九条第一款规定的程序报国务院商务主管部门批准。</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第四十一条　直销企业违反本条例第十一条规定的，由工商行政管理部门责令改正，处3万元以上30万元以下的罚款;对不再符合直销经营许可条件的，由国务院商务主管部门吊销其直销经营许可证。</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514" w:type="dxa"/>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17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直销企业超出直销产品范围从事直销经营活动的处罚</w:t>
            </w:r>
          </w:p>
        </w:tc>
        <w:tc>
          <w:tcPr>
            <w:tcW w:w="4107" w:type="dxa"/>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w:t>
            </w:r>
            <w:r>
              <w:rPr>
                <w:rFonts w:hint="eastAsia" w:ascii="微软雅黑" w:hAnsi="微软雅黑" w:eastAsia="微软雅黑" w:cs="微软雅黑"/>
                <w:i w:val="0"/>
                <w:caps w:val="0"/>
                <w:color w:val="000000"/>
                <w:spacing w:val="0"/>
                <w:sz w:val="15"/>
                <w:szCs w:val="15"/>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4107"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kern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815" w:type="dxa"/>
            <w:gridSpan w:val="3"/>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1166" w:type="dxa"/>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c>
          <w:tcPr>
            <w:tcW w:w="582" w:type="dxa"/>
            <w:gridSpan w:val="2"/>
            <w:vMerge w:val="continue"/>
          </w:tcPr>
          <w:p>
            <w:pPr>
              <w:keepNext w:val="0"/>
              <w:keepLines w:val="0"/>
              <w:pageBreakBefore w:val="0"/>
              <w:kinsoku/>
              <w:overflowPunct/>
              <w:topLinePunct w:val="0"/>
              <w:autoSpaceDE/>
              <w:autoSpaceDN/>
              <w:bidi w:val="0"/>
              <w:adjustRightInd/>
              <w:spacing w:line="240" w:lineRule="atLeast"/>
              <w:ind w:firstLine="300" w:firstLineChars="200"/>
              <w:rPr>
                <w:rFonts w:hint="eastAsia" w:ascii="微软雅黑" w:hAnsi="微软雅黑" w:eastAsia="微软雅黑" w:cs="微软雅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行政</w:t>
            </w:r>
            <w:r>
              <w:rPr>
                <w:rFonts w:hint="eastAsia" w:ascii="微软雅黑" w:hAnsi="微软雅黑" w:eastAsia="微软雅黑" w:cs="微软雅黑"/>
                <w:sz w:val="15"/>
                <w:szCs w:val="15"/>
                <w:lang w:val="en-US" w:eastAsia="zh-CN"/>
              </w:rPr>
              <w:t>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sz w:val="15"/>
                <w:szCs w:val="15"/>
              </w:rPr>
            </w:pPr>
            <w:r>
              <w:rPr>
                <w:rFonts w:hint="eastAsia" w:ascii="微软雅黑" w:hAnsi="微软雅黑" w:eastAsia="微软雅黑" w:cs="微软雅黑"/>
                <w:i w:val="0"/>
                <w:color w:val="000000"/>
                <w:kern w:val="0"/>
                <w:sz w:val="15"/>
                <w:szCs w:val="15"/>
                <w:u w:val="none"/>
                <w:lang w:val="en-US" w:eastAsia="zh-CN" w:bidi="ar"/>
              </w:rPr>
              <w:t>直销企业及其直销员有欺骗、误导等宣传和推销行为的处罚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 </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   </w:t>
            </w:r>
            <w:r>
              <w:rPr>
                <w:rFonts w:hint="eastAsia" w:ascii="微软雅黑" w:hAnsi="微软雅黑" w:eastAsia="微软雅黑" w:cs="微软雅黑"/>
                <w:i w:val="0"/>
                <w:caps w:val="0"/>
                <w:color w:val="000000"/>
                <w:spacing w:val="0"/>
                <w:sz w:val="15"/>
                <w:szCs w:val="15"/>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19</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直销企业及其分支机构违规招募直销员的处罚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20</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未取得直销员证从事直销活动的处罚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第四十五条　违反本条例规定，未取得直销员证从事直销活动的，由工商行政管理部门责令改正，没收直销产品和违法销售收入，可以处2万元以下的罚款;情节严重的，处2万元以上20万元以下的罚款。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直销企业违规进行直销员业务培训，或者直销企业以外的单位和个人组织直销员业务培训的处罚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直销企业以外的单位和个人组织直销员业务培训的，由工商行政管理部门责令改正，没收违法所得，处2万元以上20万元以下的罚款。</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直销员违规推销产品的处罚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第二十二条　直销员向消费者推销产品，应当遵守下列规定：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(一)出示直销员证和推销合同;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(二)未经消费者同意，不得进入消费者住所强行推销产品，消费者要求其停止推销活动的，应当立即停止，并离开消费者住所;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(三)成交前，向消费者详细介绍本企业的退货制度;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　　(四)成交后，向消费者提供发票和由直销企业出具的含有退货制度、直销企业当地服务网点地址和电话号码等内容的售货凭证。</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第四十七条　直销员违反本条例第二十二条规定的，由工商行政管理部门没收违法销售收入，可以处5万元以下的罚款;情节严重的，责令直销企业撤销其直销员资格，并对直销企业处1万元以上10万元以下的罚款。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直销企业违规支付直销员报酬行为；直销企业及其分支机构、服务网点和直销员未实行完善的换货、退货制度的处罚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5"/>
                <w:szCs w:val="15"/>
              </w:rPr>
              <w:t>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第二十五条　直销企业应当建立并实行完善的换货和退货制度。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不属于前两款规定情形，消费者、直销员要求换货和退货的，直销企业及其分支机构、所在地的服务网点和直销员应当依照有关法律法规的规定或者合同的约定，办理换货和退货。</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直销企业未依照有关规定进行信息报备和披露的处罚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直销企业违规存缴、使用保证金的处罚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000000"/>
                <w:spacing w:val="0"/>
                <w:sz w:val="15"/>
                <w:szCs w:val="15"/>
              </w:rPr>
              <w:t>第五十一条　直销企业违反本条例第五章有关规定的，由工商行政管理部门责令限期改正，处10万元以下的罚款;拒不改正的，处10万元以上30万元以下的罚款，由国务院商务主管部门吊销其直销经营许可证。</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组织、策划传销，介绍、诱骗、胁迫他人参加传销和个人参加传销的处罚</w:t>
            </w:r>
          </w:p>
        </w:tc>
        <w:tc>
          <w:tcPr>
            <w:tcW w:w="4107" w:type="dxa"/>
            <w:vMerge w:val="restart"/>
            <w:vAlign w:val="center"/>
          </w:tcPr>
          <w:p>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160" w:afterAutospacing="0" w:line="240" w:lineRule="atLeast"/>
              <w:ind w:left="0" w:right="0" w:firstLine="0"/>
              <w:rPr>
                <w:rFonts w:hint="eastAsia" w:ascii="微软雅黑" w:hAnsi="微软雅黑" w:eastAsia="微软雅黑" w:cs="微软雅黑"/>
                <w:i w:val="0"/>
                <w:caps w:val="0"/>
                <w:color w:val="333333"/>
                <w:spacing w:val="5"/>
                <w:sz w:val="15"/>
                <w:szCs w:val="15"/>
              </w:rPr>
            </w:pPr>
            <w:r>
              <w:rPr>
                <w:rFonts w:hint="eastAsia" w:ascii="微软雅黑" w:hAnsi="微软雅黑" w:eastAsia="微软雅黑" w:cs="微软雅黑"/>
                <w:i w:val="0"/>
                <w:caps w:val="0"/>
                <w:color w:val="333333"/>
                <w:spacing w:val="5"/>
                <w:sz w:val="15"/>
                <w:szCs w:val="15"/>
                <w:shd w:val="clear" w:fill="FFFFFF"/>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5"/>
                <w:sz w:val="15"/>
                <w:szCs w:val="15"/>
                <w:shd w:val="clear" w:fill="FFFFFF"/>
              </w:rPr>
              <w:t>第二十四条 有本条例第七条规定的行为，组织策划传销的，由工商行政管理部门没收非法财物，没收违法所得，处50万元以上200万元以下的罚款;构成犯罪的，依法追究刑事责任。</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为传销行为提供经营场所、培训场所、货源、保管、仓储等条件的处罚</w:t>
            </w:r>
          </w:p>
        </w:tc>
        <w:tc>
          <w:tcPr>
            <w:tcW w:w="4107" w:type="dxa"/>
            <w:vMerge w:val="restart"/>
            <w:vAlign w:val="center"/>
          </w:tcPr>
          <w:p>
            <w:pPr>
              <w:pStyle w:val="6"/>
              <w:keepNext w:val="0"/>
              <w:keepLines w:val="0"/>
              <w:pageBreakBefore w:val="0"/>
              <w:widowControl/>
              <w:suppressLineNumbers w:val="0"/>
              <w:shd w:val="clear" w:fill="FFFFFF"/>
              <w:kinsoku/>
              <w:overflowPunct/>
              <w:topLinePunct w:val="0"/>
              <w:autoSpaceDE/>
              <w:autoSpaceDN/>
              <w:bidi w:val="0"/>
              <w:adjustRightInd/>
              <w:spacing w:before="0" w:beforeAutospacing="0" w:after="160" w:afterAutospacing="0" w:line="240" w:lineRule="atLeast"/>
              <w:ind w:left="0" w:right="0" w:firstLine="0"/>
              <w:rPr>
                <w:rFonts w:hint="eastAsia" w:ascii="微软雅黑" w:hAnsi="微软雅黑" w:eastAsia="微软雅黑" w:cs="微软雅黑"/>
                <w:i w:val="0"/>
                <w:caps w:val="0"/>
                <w:color w:val="333333"/>
                <w:spacing w:val="5"/>
                <w:sz w:val="15"/>
                <w:szCs w:val="15"/>
              </w:rPr>
            </w:pPr>
            <w:r>
              <w:rPr>
                <w:rFonts w:hint="eastAsia" w:ascii="微软雅黑" w:hAnsi="微软雅黑" w:eastAsia="微软雅黑" w:cs="微软雅黑"/>
                <w:i w:val="0"/>
                <w:caps w:val="0"/>
                <w:color w:val="333333"/>
                <w:spacing w:val="5"/>
                <w:sz w:val="15"/>
                <w:szCs w:val="15"/>
                <w:shd w:val="clear" w:fill="FFFFFF"/>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5"/>
                <w:sz w:val="15"/>
                <w:szCs w:val="15"/>
                <w:shd w:val="clear" w:fill="FFFFFF"/>
              </w:rPr>
              <w:t>第二十六条 为本条例第七条规定的传销行为提供经营场所、培训场所、货源、保管、仓储等条件的，由工商行政管理部门责令停止违法行为，没收违法所得，处5万元以上50万元以下的罚款。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28</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擅自动用、调换、转移、损毁查处传销中被查封、扣押财物的处罚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5"/>
                <w:sz w:val="15"/>
                <w:szCs w:val="15"/>
                <w:shd w:val="clear" w:fill="FFFFFF"/>
              </w:rPr>
              <w:t>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5"/>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29</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利用广告对商品或者服务作虚假宣传的处罚</w:t>
            </w:r>
          </w:p>
        </w:tc>
        <w:tc>
          <w:tcPr>
            <w:tcW w:w="4107" w:type="dxa"/>
            <w:vMerge w:val="restart"/>
            <w:vAlign w:val="center"/>
          </w:tcPr>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广告不得含有虚假或者引人误解的内容，不得欺骗、误导消费者。</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《广告法》第三十七条“违反本法规定，利用广告对商品或者服务作虚假宣传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的，由广告监督管理机关责令广告主停止发布，并以等额广告费用在相应范围内公开更正 消除影响，并处广告费用一倍以上五倍以下的罚款；对负有责任的广告经营者、广告发布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者没收广告费用，并处广告费用一倍以上五倍以下的罚款；情节严重的，依法停止其广告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业务。构成犯罪的，依法追究刑事责任”</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30</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广告内容违反禁止性规定的处罚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000000"/>
                <w:spacing w:val="0"/>
                <w:sz w:val="15"/>
                <w:szCs w:val="15"/>
                <w:lang w:eastAsia="zh-CN"/>
              </w:rPr>
            </w:pPr>
            <w:r>
              <w:rPr>
                <w:rFonts w:hint="eastAsia" w:ascii="微软雅黑" w:hAnsi="微软雅黑" w:eastAsia="微软雅黑" w:cs="微软雅黑"/>
                <w:i w:val="0"/>
                <w:caps w:val="0"/>
                <w:color w:val="333333"/>
                <w:spacing w:val="0"/>
                <w:sz w:val="15"/>
                <w:szCs w:val="15"/>
                <w:shd w:val="clear" w:fill="FFFFFF"/>
              </w:rPr>
              <w:t>第九条 广告不得有下列情形：（一）使用或者变相使用中华人民共和国的国旗、国歌、国徽，军旗、军歌、军徽；</w:t>
            </w:r>
            <w:r>
              <w:rPr>
                <w:rFonts w:hint="eastAsia" w:ascii="微软雅黑" w:hAnsi="微软雅黑" w:eastAsia="微软雅黑" w:cs="微软雅黑"/>
                <w:i w:val="0"/>
                <w:caps w:val="0"/>
                <w:color w:val="000000"/>
                <w:spacing w:val="0"/>
                <w:sz w:val="15"/>
                <w:szCs w:val="15"/>
                <w:u w:val="none"/>
                <w:shd w:val="clear" w:fill="FAFAFA"/>
              </w:rPr>
              <w:fldChar w:fldCharType="begin"/>
            </w:r>
            <w:r>
              <w:rPr>
                <w:rFonts w:hint="eastAsia" w:ascii="微软雅黑" w:hAnsi="微软雅黑" w:eastAsia="微软雅黑" w:cs="微软雅黑"/>
                <w:i w:val="0"/>
                <w:caps w:val="0"/>
                <w:color w:val="000000"/>
                <w:spacing w:val="0"/>
                <w:sz w:val="15"/>
                <w:szCs w:val="15"/>
                <w:u w:val="none"/>
                <w:shd w:val="clear" w:fill="FAFAFA"/>
              </w:rPr>
              <w:instrText xml:space="preserve"> HYPERLINK "https://p1.ssl.qhimg.com/t0137742eaaa72816c8.png" </w:instrText>
            </w:r>
            <w:r>
              <w:rPr>
                <w:rFonts w:hint="eastAsia" w:ascii="微软雅黑" w:hAnsi="微软雅黑" w:eastAsia="微软雅黑" w:cs="微软雅黑"/>
                <w:i w:val="0"/>
                <w:caps w:val="0"/>
                <w:color w:val="000000"/>
                <w:spacing w:val="0"/>
                <w:sz w:val="15"/>
                <w:szCs w:val="15"/>
                <w:u w:val="none"/>
                <w:shd w:val="clear" w:fill="FAFAFA"/>
              </w:rPr>
              <w:fldChar w:fldCharType="separate"/>
            </w:r>
            <w:r>
              <w:rPr>
                <w:rStyle w:val="14"/>
                <w:rFonts w:hint="eastAsia" w:ascii="微软雅黑" w:hAnsi="微软雅黑" w:eastAsia="微软雅黑" w:cs="微软雅黑"/>
                <w:i w:val="0"/>
                <w:caps w:val="0"/>
                <w:color w:val="000000"/>
                <w:spacing w:val="0"/>
                <w:sz w:val="15"/>
                <w:szCs w:val="15"/>
                <w:u w:val="none"/>
                <w:bdr w:val="single" w:color="E5E5E5" w:sz="4" w:space="0"/>
                <w:shd w:val="clear" w:fill="FAFAFA"/>
              </w:rPr>
              <w:t>中华人民共和国广告法</w:t>
            </w:r>
            <w:r>
              <w:rPr>
                <w:rFonts w:hint="eastAsia" w:ascii="微软雅黑" w:hAnsi="微软雅黑" w:eastAsia="微软雅黑" w:cs="微软雅黑"/>
                <w:i w:val="0"/>
                <w:caps w:val="0"/>
                <w:color w:val="000000"/>
                <w:spacing w:val="0"/>
                <w:sz w:val="15"/>
                <w:szCs w:val="15"/>
                <w:u w:val="none"/>
                <w:shd w:val="clear" w:fill="FAFAFA"/>
              </w:rPr>
              <w:fldChar w:fldCharType="end"/>
            </w:r>
            <w:r>
              <w:rPr>
                <w:rFonts w:hint="eastAsia" w:ascii="微软雅黑" w:hAnsi="微软雅黑" w:eastAsia="微软雅黑" w:cs="微软雅黑"/>
                <w:i w:val="0"/>
                <w:caps w:val="0"/>
                <w:color w:val="000000"/>
                <w:spacing w:val="0"/>
                <w:sz w:val="15"/>
                <w:szCs w:val="15"/>
                <w:u w:val="none"/>
                <w:shd w:val="clear" w:fill="FAFAFA"/>
                <w:lang w:eastAsia="zh-CN"/>
              </w:rPr>
              <w:t>；</w:t>
            </w:r>
            <w:r>
              <w:rPr>
                <w:rFonts w:hint="eastAsia" w:ascii="微软雅黑" w:hAnsi="微软雅黑" w:eastAsia="微软雅黑" w:cs="微软雅黑"/>
                <w:i w:val="0"/>
                <w:caps w:val="0"/>
                <w:color w:val="333333"/>
                <w:spacing w:val="0"/>
                <w:sz w:val="15"/>
                <w:szCs w:val="15"/>
                <w:shd w:val="clear" w:fill="FFFFFF"/>
              </w:rPr>
              <w:t>（二）使用或者变相使用国家机关、国家机关工作人员的名义或者形象；（三）使用“国家级”、“最高级”、“最佳”等用语；（四）损害国家的尊严或者利益，泄露国家秘密；（五）妨碍社会安定，损害社会公共利益；（六）危害人身、财产安全，泄露个人隐私；（七）妨碍社会公共秩序或者违背社会良好风尚；（八）含有淫秽、色情、赌博、迷信、恐怖、暴力的内容；（九）含有民族、种族、宗教、性别歧视的内容；（十）妨碍环境、自然资源或者文化遗产保护；（十一）法律、行政法规规定禁止的其他情形。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hint="eastAsia" w:ascii="微软雅黑" w:hAnsi="微软雅黑" w:eastAsia="微软雅黑" w:cs="微软雅黑"/>
                <w:i w:val="0"/>
                <w:caps w:val="0"/>
                <w:color w:val="333333"/>
                <w:spacing w:val="0"/>
                <w:sz w:val="15"/>
                <w:szCs w:val="15"/>
                <w:shd w:val="clear" w:fill="FFFFFF"/>
                <w:lang w:eastAsia="zh-CN"/>
              </w:rPr>
              <w:t>：</w:t>
            </w:r>
            <w:r>
              <w:rPr>
                <w:rFonts w:hint="eastAsia" w:ascii="微软雅黑" w:hAnsi="微软雅黑" w:eastAsia="微软雅黑" w:cs="微软雅黑"/>
                <w:i w:val="0"/>
                <w:caps w:val="0"/>
                <w:color w:val="333333"/>
                <w:spacing w:val="0"/>
                <w:sz w:val="15"/>
                <w:szCs w:val="15"/>
                <w:shd w:val="clear" w:fill="FFFFFF"/>
              </w:rPr>
              <w:t>（一）发布有本法第九条、第十条规定的禁止情形的广告的；</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sz w:val="15"/>
                <w:szCs w:val="15"/>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sz w:val="15"/>
                <w:szCs w:val="15"/>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 xml:space="preserve">广告内容违反清楚、明白、准确、真实的规定或贬低其他生产经营者的商品或者服务的处罚  </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八条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广告不得贬低其他生产经营者的商品或者服务。第五十九条 有下列行为之一的，由工商行政管理部门责令停止发布广告，对广告主处十万元以下的罚款：（一）广告内容违反本法第八条规定的；（四）违反本法第十三条规定，广告贬低其他生产经营者的商品或者服务的。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广告不具有可识别性的处罚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第十四条：广告应当具有可识别性，能够使消费者辨明其为广告。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大众传播媒介不得以新闻报道形式变相发布广告，通过大众传播媒介发布的广告应当显著标明“广告”，与其他非广告信息相区别，不得使消费者产生误解。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广播电台、电视台发布广告，应当遵守国务院有关部门关于时长、方式的规定，并应当对广告时长作出明显提示。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五十九条第三款：广告违反本法第十四条规定，不具有可识别性的，或者违反本法第十九条规定，变相发布医疗、药品、医疗器械、保健食品广告的，由工商行政管理部门责令改正，对广告发布者处十万元以下的罚款。</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 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发布违法的医疗、药品、医疗器械广告的处罚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第十六条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发布违法的保健食品广告的处罚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sz w:val="15"/>
                <w:szCs w:val="15"/>
              </w:rPr>
              <w:t> 第十八条   保健食品广告不得含有下列内容：   （一）表示功效、安全性的断言或者保证；  （二）涉及疾病预防、治疗功能；  （三）声称或者暗示广告商品为保障健康所必需；  （四）与药品、其他保健食品进行比较；  （五）利用广告代言人作推荐、证明；  （六）法律、行政法规规定禁止的其他内容。   保健食品广告应当显著标明“本品不能代替药物”。  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（三）违反本法第十八条规定发布保健食品广告的；   第五十八条第二款   医疗机构有前款规定违法行为，情节严重的，除由工商行政管理部门依照本法处罚外，卫生行政部门可以吊销诊疗科目或者吊销医疗机构执业许可证。   第五十八条第三款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  </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发布违法的农药、兽药、饲料和饲料添加剂广告的处罚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sz w:val="15"/>
                <w:szCs w:val="15"/>
              </w:rPr>
              <w:t xml:space="preserve">第二十一条   农药、兽药、饲料和饲料添加剂广告不得含有下列内容：（一）表示功效、安全性的断言或者保证；（二）利用科研单位、学术机构、技术推广机构、行业协会或者专业人士、用户的名义或者形象作推荐、证明；（三）说明有效率；（四）违反安全使用规程的文字、语言或者画面；   </w:t>
            </w:r>
          </w:p>
          <w:p>
            <w:pPr>
              <w:keepNext w:val="0"/>
              <w:keepLines w:val="0"/>
              <w:pageBreakBefore w:val="0"/>
              <w:numPr>
                <w:ilvl w:val="0"/>
                <w:numId w:val="2"/>
              </w:numPr>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sz w:val="15"/>
                <w:szCs w:val="15"/>
              </w:rPr>
              <w:t>法律、行政法规规定禁止的其他内容。第五十八条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numPr>
                <w:ilvl w:val="0"/>
                <w:numId w:val="0"/>
              </w:numPr>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numPr>
                <w:ilvl w:val="0"/>
                <w:numId w:val="0"/>
              </w:numPr>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numPr>
                <w:ilvl w:val="0"/>
                <w:numId w:val="0"/>
              </w:numPr>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numPr>
                <w:ilvl w:val="0"/>
                <w:numId w:val="0"/>
              </w:numPr>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发布违法的酒类广告的处罚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right="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第二十三条 酒类广告不得含有下列内容：（一）诱导、怂恿饮酒或者宣传无节制饮酒；（二）出现饮酒的动作；（三）表现驾驶车、船、飞机等活动；（四）明示或者暗示饮酒有消除紧张和焦虑、增加体力等功效。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发布违法的教育、培训广告的处罚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sz w:val="15"/>
                <w:szCs w:val="15"/>
              </w:rPr>
              <w:t>第二十四条  教育、培训广告不得含有下列内容：（一）对升学、通过考试、获得学位学历或者合格证书，或者对教育、培训的效果作出明示或者暗示的保证性承诺；   （二）明示或者暗示有相关考试机构或者其工作人员、考试命题人员参与教育、培训；（三）利用科研单位、学术机构、教育机构、行业协会、专业人士、受益者的名义或者形象作推荐、证明。   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六）违反本法第二十四条规定发布教育、培训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38</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发布违法的招商等有投资回报预期的商品或者服务广告的处罚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sz w:val="15"/>
                <w:szCs w:val="15"/>
              </w:rPr>
              <w:t>第二十五条  招商等有投资回报预期的商品或者服务广告，应当对可能存在的风险以及风险责任承担有合理提示或者警示，并不得含有下列内容： （一）对未来效果、收益或者与其相关的情况作出保证性承诺，明示或者暗示保本、无风险或者保收益等，国家另有规定的除外；（二）利用学术机构、行业协会、专业人士、受益者的名义或者形象作推荐、证明。  </w:t>
            </w:r>
            <w:r>
              <w:rPr>
                <w:rFonts w:hint="eastAsia" w:ascii="微软雅黑" w:hAnsi="微软雅黑" w:eastAsia="微软雅黑" w:cs="微软雅黑"/>
                <w:sz w:val="15"/>
                <w:szCs w:val="15"/>
              </w:rPr>
              <w:br w:type="textWrapping"/>
            </w:r>
            <w:r>
              <w:rPr>
                <w:rFonts w:hint="eastAsia" w:ascii="微软雅黑" w:hAnsi="微软雅黑" w:eastAsia="微软雅黑" w:cs="微软雅黑"/>
                <w:sz w:val="15"/>
                <w:szCs w:val="15"/>
              </w:rPr>
              <w:t>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39</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发布违法的房地产广告的处罚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四）对规划或者建设中的交通、商业、文化教育设施以及其他市政条件作误导宣传。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40</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发布违法的农作物种子、林木种子、草种子、种畜禽、水产苗种和种养殖广告的处罚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sz w:val="15"/>
                <w:szCs w:val="15"/>
              </w:rPr>
              <w:t>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一）作科学上无法验证的断言；（二）表示功效的断言或者保证；（三）对经济效益进行分析、预测或者作保证性承诺；（四）利用科研单位、学术机构、技术推广机构、行业协会或者专业人士、用户的名义或者形象作推荐、证明。 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 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olor w:val="000000"/>
                <w:kern w:val="0"/>
                <w:sz w:val="18"/>
                <w:szCs w:val="18"/>
                <w:u w:val="none"/>
                <w:lang w:val="en-US" w:eastAsia="zh-CN" w:bidi="ar"/>
              </w:rPr>
              <w:t>利用不满十周岁的未成年人或者利用在虚假广告中作推荐、证明受到行政处罚未满三年的自然人、法人或者其他组织作为广告代言人的处罚</w:t>
            </w:r>
          </w:p>
        </w:tc>
        <w:tc>
          <w:tcPr>
            <w:tcW w:w="4107" w:type="dxa"/>
            <w:vMerge w:val="restart"/>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三十八条广告代言人在广告中对商品、服务作推荐、证明，应当依据事实，符合本法和有关法律、行政法规规定，并不得为其未使用过的商品或者未接受过的服务作推荐、证明。不得利用不满十周岁的未成年人作为广告代言人。</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违反本法第三十八条第二款规定，利用不满十周岁的未成年人作为广告代言人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5"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olor w:val="000000"/>
                <w:kern w:val="0"/>
                <w:sz w:val="18"/>
                <w:szCs w:val="18"/>
                <w:u w:val="none"/>
                <w:lang w:val="en-US" w:eastAsia="zh-CN" w:bidi="ar"/>
              </w:rPr>
              <w:t>在中小学校、幼儿园内或者利用与中小学生、幼儿有关的物品发布广告的处罚</w:t>
            </w:r>
          </w:p>
        </w:tc>
        <w:tc>
          <w:tcPr>
            <w:tcW w:w="4107" w:type="dxa"/>
            <w:vMerge w:val="restart"/>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第三十九条不得在中小学校、幼儿园内开展广告活动，不得利用中小学生和幼儿的教材、教辅材料、练习册、文具、教具、校服、校车等发布或者变相发布广告，但公益广告除外。</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与中小学生、幼儿有关的物品发布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i w:val="0"/>
                <w:color w:val="000000"/>
                <w:kern w:val="0"/>
                <w:sz w:val="18"/>
                <w:szCs w:val="18"/>
                <w:u w:val="none"/>
                <w:lang w:val="en-US" w:eastAsia="zh-CN" w:bidi="ar"/>
              </w:rPr>
              <w:t>违法发布针对不满十四周岁的未成年人的商品或者服务的广告的处罚</w:t>
            </w:r>
          </w:p>
        </w:tc>
        <w:tc>
          <w:tcPr>
            <w:tcW w:w="4107" w:type="dxa"/>
            <w:vMerge w:val="restart"/>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第四十条针对不满十四周岁的未成年人的商品或者服务的广告不得含有下列内容：（一）劝诱其要求家长购买广告商品或者服务；（二）可能引发其模仿不安全行为。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发布未经审查的医疗、药品、医疗器械、农药、兽药和保健食品广告的处罚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第四十六条发布医疗、药品、医疗器械、农药、兽药和保健食品广告，以及法律、行政法规规定应当进行审查的其他广告，应当在发布前由有关部门（以下称广告审查机关）对广告内容进行审查；未经审查，不得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（十四）违反本法第四十六条规定，未经审查发布广告的。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0"/>
                <w:sz w:val="15"/>
                <w:szCs w:val="15"/>
                <w:u w:val="none"/>
                <w:lang w:val="en-US" w:eastAsia="zh-CN" w:bidi="ar"/>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违反规定在大众媒介和禁止的地点发布烟草广告的处罚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aps w:val="0"/>
                <w:color w:val="333333"/>
                <w:spacing w:val="0"/>
                <w:sz w:val="15"/>
                <w:szCs w:val="15"/>
                <w:shd w:val="clear" w:fill="FFFFFF"/>
              </w:rPr>
              <w:t>第二十二条 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sz w:val="15"/>
                <w:szCs w:val="15"/>
                <w:shd w:val="clear" w:fill="FFFFFF"/>
              </w:rPr>
              <w:t>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w:t>
            </w:r>
            <w:r>
              <w:rPr>
                <w:rFonts w:hint="eastAsia" w:ascii="微软雅黑" w:hAnsi="微软雅黑" w:eastAsia="微软雅黑" w:cs="微软雅黑"/>
                <w:i w:val="0"/>
                <w:caps w:val="0"/>
                <w:color w:val="333333"/>
                <w:spacing w:val="0"/>
                <w:sz w:val="15"/>
                <w:szCs w:val="15"/>
                <w:shd w:val="clear" w:fill="FFFFFF"/>
                <w:lang w:val="en-US" w:eastAsia="zh-CN"/>
              </w:rPr>
              <w:t>经营许可证。</w:t>
            </w:r>
            <w:r>
              <w:rPr>
                <w:rFonts w:hint="eastAsia" w:ascii="微软雅黑" w:hAnsi="微软雅黑" w:eastAsia="微软雅黑" w:cs="微软雅黑"/>
                <w:i w:val="0"/>
                <w:caps w:val="0"/>
                <w:color w:val="333333"/>
                <w:spacing w:val="0"/>
                <w:sz w:val="15"/>
                <w:szCs w:val="15"/>
                <w:shd w:val="clear" w:fill="FFFFFF"/>
              </w:rPr>
              <w:t>（四）违反本法第二十二条规定发布烟草广告的；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6"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案要求装订案卷并存档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广播电台、电视台、报刊出版单位未办理广告发布登记，擅自从事广告发布业务的处罚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969696"/>
                <w:spacing w:val="0"/>
                <w:sz w:val="15"/>
                <w:szCs w:val="15"/>
              </w:rPr>
            </w:pPr>
            <w:r>
              <w:rPr>
                <w:rFonts w:hint="eastAsia" w:ascii="微软雅黑" w:hAnsi="微软雅黑" w:eastAsia="微软雅黑" w:cs="微软雅黑"/>
                <w:i w:val="0"/>
                <w:caps w:val="0"/>
                <w:color w:val="969696"/>
                <w:spacing w:val="0"/>
                <w:sz w:val="15"/>
                <w:szCs w:val="15"/>
                <w:shd w:val="clear" w:fill="FFFFFF"/>
              </w:rPr>
              <w:t> 第二十九条　广播电台、电视台、报刊出版单位从事广告发布业务的，应当设有专门从事广告业务的机构，配备必要的人员，具有与发布广告相适应的场所、设备，并向县级以上地方工商行政管理部门办理广告发布登记。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0"/>
              <w:rPr>
                <w:rFonts w:hint="eastAsia" w:ascii="微软雅黑" w:hAnsi="微软雅黑" w:eastAsia="微软雅黑" w:cs="微软雅黑"/>
                <w:i w:val="0"/>
                <w:caps w:val="0"/>
                <w:color w:val="969696"/>
                <w:spacing w:val="0"/>
                <w:sz w:val="15"/>
                <w:szCs w:val="15"/>
              </w:rPr>
            </w:pPr>
            <w:r>
              <w:rPr>
                <w:rFonts w:hint="eastAsia" w:ascii="微软雅黑" w:hAnsi="微软雅黑" w:eastAsia="微软雅黑" w:cs="微软雅黑"/>
                <w:i w:val="0"/>
                <w:caps w:val="0"/>
                <w:color w:val="969696"/>
                <w:spacing w:val="0"/>
                <w:sz w:val="15"/>
                <w:szCs w:val="15"/>
                <w:shd w:val="clear" w:fill="FFFFFF"/>
              </w:rPr>
              <w:t>   第六十条 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eastAsia="zh-CN"/>
              </w:rPr>
            </w:pPr>
            <w:r>
              <w:rPr>
                <w:rFonts w:hint="eastAsia" w:ascii="微软雅黑" w:hAnsi="微软雅黑" w:eastAsia="微软雅黑" w:cs="微软雅黑"/>
                <w:i w:val="0"/>
                <w:caps w:val="0"/>
                <w:color w:val="000000"/>
                <w:spacing w:val="0"/>
                <w:sz w:val="15"/>
                <w:szCs w:val="15"/>
                <w:lang w:val="en-US" w:eastAsia="zh-CN"/>
              </w:rPr>
              <w:t>47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rPr>
            </w:pPr>
            <w:r>
              <w:rPr>
                <w:rFonts w:hint="eastAsia" w:ascii="微软雅黑" w:hAnsi="微软雅黑" w:eastAsia="微软雅黑" w:cs="微软雅黑"/>
                <w:sz w:val="15"/>
                <w:szCs w:val="15"/>
                <w:lang w:val="en-US" w:eastAsia="zh-CN"/>
              </w:rPr>
              <w:t>行政处 罚</w:t>
            </w:r>
          </w:p>
        </w:tc>
        <w:tc>
          <w:tcPr>
            <w:tcW w:w="854" w:type="dxa"/>
            <w:gridSpan w:val="2"/>
            <w:vMerge w:val="restart"/>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18"/>
                <w:szCs w:val="18"/>
                <w:u w:val="none"/>
                <w:lang w:val="en-US" w:eastAsia="zh-CN" w:bidi="ar-SA"/>
              </w:rPr>
            </w:pPr>
            <w:r>
              <w:rPr>
                <w:rFonts w:hint="eastAsia" w:ascii="微软雅黑" w:hAnsi="微软雅黑" w:eastAsia="微软雅黑" w:cs="微软雅黑"/>
                <w:i w:val="0"/>
                <w:color w:val="000000"/>
                <w:kern w:val="0"/>
                <w:sz w:val="18"/>
                <w:szCs w:val="18"/>
                <w:u w:val="none"/>
                <w:lang w:val="en-US" w:eastAsia="zh-CN" w:bidi="ar"/>
              </w:rPr>
              <w:t>广告经营者、广告发布者未按照国家有关规定建立、健全广告业务管理制度的，或者未对广告内容进行核对的处罚</w:t>
            </w:r>
          </w:p>
        </w:tc>
        <w:tc>
          <w:tcPr>
            <w:tcW w:w="4107" w:type="dxa"/>
            <w:vMerge w:val="restart"/>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第三十四条 广告经营者、广告发布者应当按照国家有关规定，建立、健全广告业务的承接登记、审核、档案管理制度。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广告经营者、广告发布者依据法律、行政法规查验有关证明文件，核对广告内容。对内容不符或者证明文件不全的广告，广告经营者不得提供设计、制作、代理服务，广告发布者不得发布。</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0"/>
                <w:sz w:val="18"/>
                <w:szCs w:val="18"/>
                <w:shd w:val="clear" w:fill="FFFFFF"/>
              </w:rPr>
              <w:t>第六十一条违反本法第三十四条规定，广告经营者、广告发布者未按照国家有关规定建立、健全广告业务管理制度的，或者未对广告内容进行核对的，由工商行政管理部门责令改正，可以处五万元以下的罚款。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eastAsia="zh-CN"/>
              </w:rPr>
            </w:pPr>
            <w:r>
              <w:rPr>
                <w:rFonts w:hint="eastAsia" w:ascii="微软雅黑" w:hAnsi="微软雅黑" w:eastAsia="微软雅黑" w:cs="微软雅黑"/>
                <w:i w:val="0"/>
                <w:caps w:val="0"/>
                <w:color w:val="000000"/>
                <w:spacing w:val="0"/>
                <w:sz w:val="15"/>
                <w:szCs w:val="15"/>
                <w:lang w:val="en-US" w:eastAsia="zh-CN"/>
              </w:rPr>
              <w:t>局属各执法机构。</w:t>
            </w: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48</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i w:val="0"/>
                <w:color w:val="000000"/>
                <w:kern w:val="0"/>
                <w:sz w:val="18"/>
                <w:szCs w:val="18"/>
                <w:u w:val="none"/>
                <w:lang w:val="en-US" w:eastAsia="zh-CN" w:bidi="ar"/>
              </w:rPr>
              <w:t>广告代言人违规代言的处罚</w:t>
            </w:r>
          </w:p>
        </w:tc>
        <w:tc>
          <w:tcPr>
            <w:tcW w:w="4107" w:type="dxa"/>
            <w:vMerge w:val="restart"/>
            <w:vAlign w:val="center"/>
          </w:tcPr>
          <w:p>
            <w:pPr>
              <w:rPr>
                <w:rFonts w:hint="eastAsia" w:ascii="微软雅黑" w:hAnsi="微软雅黑" w:eastAsia="微软雅黑" w:cs="微软雅黑"/>
                <w:i w:val="0"/>
                <w:caps w:val="0"/>
                <w:color w:val="333333"/>
                <w:spacing w:val="0"/>
                <w:sz w:val="18"/>
                <w:szCs w:val="18"/>
                <w:shd w:val="clear" w:fill="F8FCFF"/>
              </w:rPr>
            </w:pPr>
            <w:r>
              <w:rPr>
                <w:rFonts w:hint="eastAsia" w:ascii="微软雅黑" w:hAnsi="微软雅黑" w:eastAsia="微软雅黑" w:cs="微软雅黑"/>
                <w:i w:val="0"/>
                <w:caps w:val="0"/>
                <w:color w:val="333333"/>
                <w:spacing w:val="0"/>
                <w:sz w:val="18"/>
                <w:szCs w:val="18"/>
                <w:shd w:val="clear" w:fill="F8FCFF"/>
              </w:rPr>
              <w:t>中华人民共和国广告法》第六十二条：广告代言人有下列情形之一的，由工商行政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中华人民共和国广告法》第十六条第一款： 医疗、药品、医疗器械广告不得含有下列内容： （四）利用广告代言人作推荐、证明； 《中华人民共和国广告法》第十八条第一款：保健食品广告不得含有下列内容：（五）利用广告代言人作推荐、证明； 《中华人民共和国广告法》第三十八条第一款：广告代言人在广告中对商品、服务作推荐、证明，应当依据事实，符合本法和有关法律、行政法规规定，并不得为其未使用过的商品或者未接受过的服务作推荐、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八条广告代言人在广告中对商品、服务作推荐、证明，应当依据事实，符合本法和有关法律、行政法规规定，并不得为其未使用过的商品或者未接受过的服务作推荐、证明。不得利用不满十周岁的未成年人作为广告代言人。对在虚假广告中作推荐、证明受到行政处罚未满三年的自然人、法人或者其他组织，不得利用其作为广告代言人。</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i w:val="0"/>
                <w:caps w:val="0"/>
                <w:color w:val="333333"/>
                <w:spacing w:val="0"/>
                <w:sz w:val="18"/>
                <w:szCs w:val="18"/>
                <w:shd w:val="clear" w:fill="FFFFFF"/>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违反本法第三十八条第二款规定，利用不满十周岁的未成年人作为广告代言人的；（十一）违反本法第三十八条第三款规定，利用自然人、法人或者其他组织作为广告代言人的；</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49</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 xml:space="preserve">违反规定以电子信息方式发布广告或利用互联网发布发送广告的处罚  </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000000"/>
                <w:spacing w:val="0"/>
                <w:sz w:val="18"/>
                <w:szCs w:val="18"/>
                <w:shd w:val="clear" w:fill="FFFFFF"/>
              </w:rPr>
              <w:t> 第四十三条“任何单位或者个人未经当事人同意或者请求，不得向其住宅、交通工具等发送广告，也不得以电子信息方式向其发送广告。</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以电子信息方式发送广告的，应当明示发送者的真实身份和联系方式，并向接收者提供拒绝继续接收的方式。”</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第四十四条第二款“利用互联网发布、发送广告，不得影响用户正常使用网络。在互联网页面以弹出等形式发布的广告，应当显著标明关闭标志，确保一键关闭。”</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第六十三条“违反本法第四十三条规定发送广告的，由有关部门责令停止违法行为，对广告主处五千元以上三万元以下的罚款。</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18"/>
                <w:szCs w:val="18"/>
                <w:shd w:val="clear" w:fill="FFFFFF"/>
              </w:rPr>
              <w:t>    违反本法第四十四条第二款规定，利用互联网发布广告，未显著标明关闭标志，确保一键关闭的，由工商行政管理部门责令改正，对广告主处五千元以上三万元以下的罚款。”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91"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50</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公共场所的管理者和电信业务经营者、互联网信息服务提供者，明知或者应知广告活动违法不予制止的处罚</w:t>
            </w:r>
          </w:p>
        </w:tc>
        <w:tc>
          <w:tcPr>
            <w:tcW w:w="4107" w:type="dxa"/>
            <w:vMerge w:val="restart"/>
            <w:vAlign w:val="center"/>
          </w:tcPr>
          <w:p>
            <w:pPr>
              <w:rPr>
                <w:rFonts w:hint="eastAsia" w:ascii="微软雅黑" w:hAnsi="微软雅黑" w:eastAsia="微软雅黑" w:cs="微软雅黑"/>
                <w:i w:val="0"/>
                <w:caps w:val="0"/>
                <w:color w:val="969696"/>
                <w:spacing w:val="0"/>
                <w:sz w:val="18"/>
                <w:szCs w:val="18"/>
                <w:shd w:val="clear" w:fill="FFFFFF"/>
              </w:rPr>
            </w:pPr>
            <w:r>
              <w:rPr>
                <w:rFonts w:hint="eastAsia" w:ascii="微软雅黑" w:hAnsi="微软雅黑" w:eastAsia="微软雅黑" w:cs="微软雅黑"/>
                <w:i w:val="0"/>
                <w:caps w:val="0"/>
                <w:color w:val="969696"/>
                <w:spacing w:val="0"/>
                <w:sz w:val="18"/>
                <w:szCs w:val="18"/>
                <w:shd w:val="clear" w:fill="FFFFFF"/>
              </w:rPr>
              <w:t>第四十五条 公共场所的管理者或者电信业务经营者、互联网信息服务提供者对其明知或者应知的利用其场所或者信息传输、发布平台发送、发布违法广告的，应当予以制止。</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i w:val="0"/>
                <w:caps w:val="0"/>
                <w:color w:val="969696"/>
                <w:spacing w:val="0"/>
                <w:sz w:val="18"/>
                <w:szCs w:val="18"/>
                <w:shd w:val="clear" w:fill="FFFFFF"/>
              </w:rPr>
              <w:t>第六十四条 违反本法第四十五条规定，公共场所的管理者和电信业务经营者、互联网信息服务提供者，明知或者应知广告活动违法不予制止的，由工商行政管理部门没收违法所得，违法所得五万元以上的，并处违法所得一倍以上三倍以下的罚款，违法所得不足五万元的，并处一万元以上五万元以下的罚款；情节严重的，由有关部门依法停止相关业务。</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0"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eastAsia="zh-CN"/>
              </w:rPr>
            </w:pPr>
            <w:r>
              <w:rPr>
                <w:rFonts w:hint="eastAsia" w:ascii="微软雅黑" w:hAnsi="微软雅黑" w:eastAsia="微软雅黑" w:cs="微软雅黑"/>
                <w:i w:val="0"/>
                <w:caps w:val="0"/>
                <w:color w:val="000000"/>
                <w:spacing w:val="0"/>
                <w:sz w:val="15"/>
                <w:szCs w:val="15"/>
                <w:lang w:val="en-US" w:eastAsia="zh-CN"/>
              </w:rPr>
              <w:t>51</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olor w:val="000000"/>
                <w:kern w:val="0"/>
                <w:sz w:val="18"/>
                <w:szCs w:val="18"/>
                <w:u w:val="none"/>
                <w:lang w:val="en-US" w:eastAsia="zh-CN" w:bidi="ar"/>
              </w:rPr>
              <w:t>隐瞒真实情况或者提供虚假材料申请广告审查的处罚</w:t>
            </w:r>
          </w:p>
        </w:tc>
        <w:tc>
          <w:tcPr>
            <w:tcW w:w="4107" w:type="dxa"/>
            <w:vMerge w:val="restart"/>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0"/>
                <w:sz w:val="18"/>
                <w:szCs w:val="18"/>
                <w:shd w:val="clear" w:fill="FFFFFF"/>
              </w:rPr>
              <w:t>第六十五条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eastAsia="zh-CN"/>
              </w:rPr>
            </w:pPr>
            <w:r>
              <w:rPr>
                <w:rFonts w:hint="eastAsia" w:ascii="微软雅黑" w:hAnsi="微软雅黑" w:eastAsia="微软雅黑" w:cs="微软雅黑"/>
                <w:i w:val="0"/>
                <w:caps w:val="0"/>
                <w:color w:val="000000"/>
                <w:spacing w:val="0"/>
                <w:sz w:val="15"/>
                <w:szCs w:val="15"/>
                <w:lang w:val="en-US" w:eastAsia="zh-CN"/>
              </w:rPr>
              <w:t>52</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000000"/>
                <w:spacing w:val="0"/>
                <w:kern w:val="2"/>
                <w:sz w:val="15"/>
                <w:szCs w:val="15"/>
                <w:lang w:val="en-US" w:eastAsia="zh-CN" w:bidi="ar-SA"/>
              </w:rPr>
            </w:pPr>
            <w:r>
              <w:rPr>
                <w:rFonts w:hint="eastAsia" w:ascii="微软雅黑" w:hAnsi="微软雅黑" w:eastAsia="微软雅黑" w:cs="微软雅黑"/>
                <w:i w:val="0"/>
                <w:color w:val="000000"/>
                <w:kern w:val="0"/>
                <w:sz w:val="18"/>
                <w:szCs w:val="18"/>
                <w:u w:val="none"/>
                <w:lang w:val="en-US" w:eastAsia="zh-CN" w:bidi="ar"/>
              </w:rPr>
              <w:t>伪造、变造或者转让广告审查批准文件的处罚</w:t>
            </w:r>
          </w:p>
        </w:tc>
        <w:tc>
          <w:tcPr>
            <w:tcW w:w="4107" w:type="dxa"/>
            <w:vMerge w:val="restart"/>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0"/>
                <w:sz w:val="18"/>
                <w:szCs w:val="18"/>
                <w:shd w:val="clear" w:fill="FFFFFF"/>
              </w:rPr>
              <w:t>第六十六条违反本法规定，伪造、变造或者转让广告审查批准文件的，由工商行政管理部门没收违法所得，并处一万元以上十万元以下的罚款。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eastAsia="zh-CN"/>
              </w:rPr>
            </w:pPr>
            <w:r>
              <w:rPr>
                <w:rFonts w:hint="eastAsia" w:ascii="微软雅黑" w:hAnsi="微软雅黑" w:eastAsia="微软雅黑" w:cs="微软雅黑"/>
                <w:i w:val="0"/>
                <w:caps w:val="0"/>
                <w:color w:val="000000"/>
                <w:spacing w:val="0"/>
                <w:sz w:val="15"/>
                <w:szCs w:val="15"/>
                <w:lang w:val="en-US" w:eastAsia="zh-CN"/>
              </w:rPr>
              <w:t>53</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olor w:val="000000"/>
                <w:kern w:val="0"/>
                <w:sz w:val="18"/>
                <w:szCs w:val="18"/>
                <w:u w:val="none"/>
                <w:lang w:val="en-US" w:eastAsia="zh-CN" w:bidi="ar"/>
              </w:rPr>
              <w:t>未经批准发布境外就业中介服务广告的处罚</w:t>
            </w:r>
          </w:p>
        </w:tc>
        <w:tc>
          <w:tcPr>
            <w:tcW w:w="4107" w:type="dxa"/>
            <w:vMerge w:val="restart"/>
            <w:vAlign w:val="center"/>
          </w:tcPr>
          <w:p>
            <w:pPr>
              <w:rPr>
                <w:rFonts w:hint="eastAsia" w:ascii="微软雅黑" w:hAnsi="微软雅黑" w:eastAsia="微软雅黑" w:cs="微软雅黑"/>
                <w:i w:val="0"/>
                <w:caps w:val="0"/>
                <w:color w:val="3D3D3D"/>
                <w:spacing w:val="0"/>
                <w:sz w:val="18"/>
                <w:szCs w:val="18"/>
                <w:shd w:val="clear" w:fill="F8FCFF"/>
              </w:rPr>
            </w:pPr>
            <w:r>
              <w:rPr>
                <w:rFonts w:hint="eastAsia" w:ascii="微软雅黑" w:hAnsi="微软雅黑" w:eastAsia="微软雅黑" w:cs="微软雅黑"/>
                <w:i w:val="0"/>
                <w:caps w:val="0"/>
                <w:color w:val="3D3D3D"/>
                <w:spacing w:val="0"/>
                <w:sz w:val="18"/>
                <w:szCs w:val="18"/>
                <w:shd w:val="clear" w:fill="F8FCFF"/>
              </w:rPr>
              <w:t>《境外就业中介管理规定》第十六条：“发布有关境外就业中介服务广告，发布前必须经中介机构所在地省、自治区、直辖市工商行政管理局批准。无批准文件的，不得发布。”</w:t>
            </w:r>
          </w:p>
          <w:p>
            <w:pPr>
              <w:keepNext w:val="0"/>
              <w:keepLines w:val="0"/>
              <w:widowControl/>
              <w:suppressLineNumbers w:val="0"/>
              <w:jc w:val="left"/>
              <w:textAlignment w:val="center"/>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D3D3D"/>
                <w:spacing w:val="0"/>
                <w:sz w:val="18"/>
                <w:szCs w:val="18"/>
                <w:shd w:val="clear" w:fill="F8FCFF"/>
              </w:rPr>
              <w:t>第三十七条第二款：“对未经批准发布境外就业中介服务广告的，由工商行政管理机关责令停止发布，没有违法所得的，处以10000元以下的罚款；有违法所得的，没收违法所得，并可处以违法所得3倍以下但不超过30000元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54</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非法买卖流通、装帧、经营人民币、纪念币或制作、仿制、买卖人民币图样等损害人民币行为的处罚</w:t>
            </w:r>
          </w:p>
        </w:tc>
        <w:tc>
          <w:tcPr>
            <w:tcW w:w="4107" w:type="dxa"/>
            <w:vMerge w:val="restar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240" w:lineRule="atLeast"/>
              <w:ind w:left="0" w:right="0" w:firstLine="420"/>
              <w:jc w:val="both"/>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b/>
                <w:i w:val="0"/>
                <w:caps w:val="0"/>
                <w:color w:val="333333"/>
                <w:spacing w:val="0"/>
                <w:sz w:val="15"/>
                <w:szCs w:val="15"/>
                <w:shd w:val="clear" w:fill="FFFFFF"/>
              </w:rPr>
              <w:t>第二十五条</w:t>
            </w:r>
            <w:r>
              <w:rPr>
                <w:rFonts w:hint="eastAsia" w:ascii="微软雅黑" w:hAnsi="微软雅黑" w:eastAsia="微软雅黑" w:cs="微软雅黑"/>
                <w:i w:val="0"/>
                <w:caps w:val="0"/>
                <w:color w:val="333333"/>
                <w:spacing w:val="0"/>
                <w:sz w:val="15"/>
                <w:szCs w:val="15"/>
                <w:shd w:val="clear" w:fill="FFFFFF"/>
              </w:rPr>
              <w:t>　禁止非法买卖流通人民币。纪念币的买卖，应当遵守中国人民银行的有关规定。</w:t>
            </w:r>
            <w:r>
              <w:rPr>
                <w:rFonts w:hint="eastAsia" w:ascii="微软雅黑" w:hAnsi="微软雅黑" w:eastAsia="微软雅黑" w:cs="微软雅黑"/>
                <w:b/>
                <w:i w:val="0"/>
                <w:caps w:val="0"/>
                <w:color w:val="333333"/>
                <w:spacing w:val="0"/>
                <w:sz w:val="15"/>
                <w:szCs w:val="15"/>
                <w:shd w:val="clear" w:fill="FFFFFF"/>
              </w:rPr>
              <w:t>第二十六条</w:t>
            </w:r>
            <w:r>
              <w:rPr>
                <w:rFonts w:hint="eastAsia" w:ascii="微软雅黑" w:hAnsi="微软雅黑" w:eastAsia="微软雅黑" w:cs="微软雅黑"/>
                <w:i w:val="0"/>
                <w:caps w:val="0"/>
                <w:color w:val="333333"/>
                <w:spacing w:val="0"/>
                <w:sz w:val="15"/>
                <w:szCs w:val="15"/>
                <w:shd w:val="clear" w:fill="FFFFFF"/>
              </w:rPr>
              <w:t>　装帧流通人民币和经营流通人民币，应当经中国人民银行批准。</w:t>
            </w:r>
            <w:r>
              <w:rPr>
                <w:rFonts w:hint="eastAsia" w:ascii="微软雅黑" w:hAnsi="微软雅黑" w:eastAsia="微软雅黑" w:cs="微软雅黑"/>
                <w:b/>
                <w:i w:val="0"/>
                <w:caps w:val="0"/>
                <w:color w:val="333333"/>
                <w:spacing w:val="0"/>
                <w:sz w:val="15"/>
                <w:szCs w:val="15"/>
                <w:shd w:val="clear" w:fill="FFFFFF"/>
              </w:rPr>
              <w:t>第二十七条</w:t>
            </w:r>
            <w:r>
              <w:rPr>
                <w:rFonts w:hint="eastAsia" w:ascii="微软雅黑" w:hAnsi="微软雅黑" w:eastAsia="微软雅黑" w:cs="微软雅黑"/>
                <w:i w:val="0"/>
                <w:caps w:val="0"/>
                <w:color w:val="333333"/>
                <w:spacing w:val="0"/>
                <w:sz w:val="15"/>
                <w:szCs w:val="15"/>
                <w:shd w:val="clear" w:fill="FFFFFF"/>
              </w:rPr>
              <w:t>　禁止下列损害人民币的行为：（一）故意毁损人民币；（二）制作、仿制、买卖人民币图样；（四）中国人民银行规定的其他损害人民币的行为。</w:t>
            </w:r>
            <w:r>
              <w:rPr>
                <w:rFonts w:hint="eastAsia" w:ascii="微软雅黑" w:hAnsi="微软雅黑" w:eastAsia="微软雅黑" w:cs="微软雅黑"/>
                <w:b/>
                <w:i w:val="0"/>
                <w:caps w:val="0"/>
                <w:color w:val="333333"/>
                <w:spacing w:val="0"/>
                <w:sz w:val="15"/>
                <w:szCs w:val="15"/>
                <w:shd w:val="clear" w:fill="FFFFFF"/>
              </w:rPr>
              <w:t>第四十四条</w:t>
            </w:r>
            <w:r>
              <w:rPr>
                <w:rFonts w:hint="eastAsia" w:ascii="微软雅黑" w:hAnsi="微软雅黑" w:eastAsia="微软雅黑" w:cs="微软雅黑"/>
                <w:i w:val="0"/>
                <w:caps w:val="0"/>
                <w:color w:val="333333"/>
                <w:spacing w:val="0"/>
                <w:sz w:val="15"/>
                <w:szCs w:val="15"/>
                <w:shd w:val="clear" w:fill="FFFFFF"/>
              </w:rPr>
              <w:t>　违反本条例第二十五条、第二十六条、第二十七条第一款第二项和第四项规定的，由工商行政管理机关和其他有关行政执法机关给予警告，没收违法所得和非法财物，并处违法所得1倍以上3倍以下的罚款；没有违法所得的，处1000元以上5万元以下的罚款。工商行政管理机关和其他有关行政执法机关应当销毁非法使用的人民币图样。</w:t>
            </w:r>
          </w:p>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8" w:hRule="atLeast"/>
        </w:trPr>
        <w:tc>
          <w:tcPr>
            <w:tcW w:w="578"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379"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54" w:type="dxa"/>
            <w:gridSpan w:val="2"/>
            <w:vMerge w:val="continue"/>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4107"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815" w:type="dxa"/>
            <w:gridSpan w:val="3"/>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1166" w:type="dxa"/>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c>
          <w:tcPr>
            <w:tcW w:w="582" w:type="dxa"/>
            <w:gridSpan w:val="2"/>
            <w:vMerge w:val="continue"/>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55</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tLeast"/>
              <w:jc w:val="left"/>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微软雅黑" w:hAnsi="微软雅黑" w:eastAsia="微软雅黑" w:cs="微软雅黑"/>
                <w:i w:val="0"/>
                <w:color w:val="000000"/>
                <w:kern w:val="0"/>
                <w:sz w:val="15"/>
                <w:szCs w:val="15"/>
                <w:u w:val="none"/>
                <w:lang w:val="en-US" w:eastAsia="zh-CN" w:bidi="ar"/>
              </w:rPr>
              <w:t>无烟草专卖零售许可证经营烟草制品零售业务的处罚</w:t>
            </w:r>
          </w:p>
        </w:tc>
        <w:tc>
          <w:tcPr>
            <w:tcW w:w="4107"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000000"/>
                <w:spacing w:val="0"/>
                <w:sz w:val="15"/>
                <w:szCs w:val="15"/>
              </w:rPr>
            </w:pPr>
            <w:r>
              <w:rPr>
                <w:rFonts w:hint="eastAsia" w:ascii="微软雅黑" w:hAnsi="微软雅黑" w:eastAsia="微软雅黑" w:cs="微软雅黑"/>
                <w:i w:val="0"/>
                <w:caps w:val="0"/>
                <w:color w:val="333333"/>
                <w:spacing w:val="0"/>
                <w:sz w:val="15"/>
                <w:szCs w:val="15"/>
                <w:shd w:val="clear" w:fill="FFFFFF"/>
              </w:rPr>
              <w:t> 第三十五条：无烟草专卖零售许可证经营烟草制品零售业务的，由工商行政管理部门责令停止经营烟草制品零售业务，没收违法所得，并处罚款。 《中华人民共和国烟草专卖法实施条例》第六十条：无烟草专卖零售许可证经营烟草制品零售业务的，由工商行政管理部门或者由工商行政管理部门根据烟草专卖行政主管部门的意见，责令停止经营烟草制品零售业务，没收违法所得，处以违法经营总额百分之二十以上百分之五十以下的罚款。</w:t>
            </w: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局属执法机构</w:t>
            </w: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lang w:val="en-US" w:eastAsia="zh-CN"/>
              </w:rPr>
            </w:pPr>
            <w:r>
              <w:rPr>
                <w:rFonts w:hint="eastAsia" w:ascii="微软雅黑" w:hAnsi="微软雅黑" w:eastAsia="微软雅黑" w:cs="微软雅黑"/>
                <w:i w:val="0"/>
                <w:caps w:val="0"/>
                <w:color w:val="333333"/>
                <w:spacing w:val="0"/>
                <w:sz w:val="15"/>
                <w:szCs w:val="15"/>
                <w:shd w:val="clear" w:fill="FFFFFF"/>
                <w:lang w:val="en-US" w:eastAsia="zh-CN"/>
              </w:rPr>
              <w:t>56</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olor w:val="000000"/>
                <w:kern w:val="0"/>
                <w:sz w:val="18"/>
                <w:szCs w:val="18"/>
                <w:u w:val="none"/>
                <w:lang w:val="en-US" w:eastAsia="zh-CN" w:bidi="ar"/>
              </w:rPr>
              <w:t>发布违法房地产广告设计、制作、发布法律、行政法规禁止生产、销售的商品或者提供服务的处罚</w:t>
            </w:r>
          </w:p>
        </w:tc>
        <w:tc>
          <w:tcPr>
            <w:tcW w:w="4107" w:type="dxa"/>
            <w:vMerge w:val="restart"/>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r>
              <w:rPr>
                <w:rFonts w:hint="eastAsia" w:ascii="微软雅黑" w:hAnsi="微软雅黑" w:eastAsia="微软雅黑" w:cs="微软雅黑"/>
                <w:i w:val="0"/>
                <w:caps w:val="0"/>
                <w:color w:val="3366CC"/>
                <w:spacing w:val="0"/>
                <w:sz w:val="18"/>
                <w:szCs w:val="18"/>
                <w:u w:val="none"/>
                <w:shd w:val="clear" w:fill="FFFFFF"/>
                <w:vertAlign w:val="baseline"/>
              </w:rPr>
              <w:fldChar w:fldCharType="begin"/>
            </w:r>
            <w:r>
              <w:rPr>
                <w:rFonts w:hint="eastAsia" w:ascii="微软雅黑" w:hAnsi="微软雅黑" w:eastAsia="微软雅黑" w:cs="微软雅黑"/>
                <w:i w:val="0"/>
                <w:caps w:val="0"/>
                <w:color w:val="3366CC"/>
                <w:spacing w:val="0"/>
                <w:sz w:val="18"/>
                <w:szCs w:val="18"/>
                <w:u w:val="none"/>
                <w:shd w:val="clear" w:fill="FFFFFF"/>
                <w:vertAlign w:val="baseline"/>
              </w:rPr>
              <w:instrText xml:space="preserve"> HYPERLINK "https://baike.so.com/doc/5539467-5755650.html" \l "refff_5539467-5755650-1" </w:instrText>
            </w:r>
            <w:r>
              <w:rPr>
                <w:rFonts w:hint="eastAsia" w:ascii="微软雅黑" w:hAnsi="微软雅黑" w:eastAsia="微软雅黑" w:cs="微软雅黑"/>
                <w:i w:val="0"/>
                <w:caps w:val="0"/>
                <w:color w:val="3366CC"/>
                <w:spacing w:val="0"/>
                <w:sz w:val="18"/>
                <w:szCs w:val="18"/>
                <w:u w:val="none"/>
                <w:shd w:val="clear" w:fill="FFFFFF"/>
                <w:vertAlign w:val="baseline"/>
              </w:rPr>
              <w:fldChar w:fldCharType="separate"/>
            </w:r>
            <w:r>
              <w:rPr>
                <w:rStyle w:val="14"/>
                <w:rFonts w:hint="eastAsia" w:ascii="微软雅黑" w:hAnsi="微软雅黑" w:eastAsia="微软雅黑" w:cs="微软雅黑"/>
                <w:i w:val="0"/>
                <w:caps w:val="0"/>
                <w:color w:val="3366CC"/>
                <w:spacing w:val="0"/>
                <w:sz w:val="18"/>
                <w:szCs w:val="18"/>
                <w:u w:val="none"/>
                <w:shd w:val="clear" w:fill="FFFFFF"/>
                <w:vertAlign w:val="baseline"/>
              </w:rPr>
              <w:t>[</w:t>
            </w:r>
            <w:r>
              <w:rPr>
                <w:rFonts w:hint="eastAsia" w:ascii="微软雅黑" w:hAnsi="微软雅黑" w:eastAsia="微软雅黑" w:cs="微软雅黑"/>
                <w:i w:val="0"/>
                <w:caps w:val="0"/>
                <w:color w:val="3366CC"/>
                <w:spacing w:val="0"/>
                <w:sz w:val="18"/>
                <w:szCs w:val="18"/>
                <w:u w:val="none"/>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三十七条：法律、行政法规规定禁止生产、销售的产品或者提供的服务，以及禁止发布广告的商品或者服务，任何单位或者个人不得设计、制作、代理、发布广告。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（五）违反本法第三十七条规定，利用广告推销禁止生产、销售的产品或者提供的服务，或者禁止发布广告的商品或者服务的；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2"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立卷归档</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按要求装订案卷并存档</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lang w:val="en-US" w:eastAsia="zh-CN"/>
              </w:rPr>
            </w:pPr>
            <w:r>
              <w:rPr>
                <w:rFonts w:hint="eastAsia" w:ascii="微软雅黑" w:hAnsi="微软雅黑" w:eastAsia="微软雅黑" w:cs="微软雅黑"/>
                <w:i w:val="0"/>
                <w:caps w:val="0"/>
                <w:color w:val="333333"/>
                <w:spacing w:val="0"/>
                <w:sz w:val="15"/>
                <w:szCs w:val="15"/>
                <w:shd w:val="clear" w:fill="FFFFFF"/>
                <w:lang w:val="en-US" w:eastAsia="zh-CN"/>
              </w:rPr>
              <w:t>57</w:t>
            </w:r>
          </w:p>
        </w:tc>
        <w:tc>
          <w:tcPr>
            <w:tcW w:w="379"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lang w:val="en-US"/>
              </w:rPr>
            </w:pPr>
            <w:r>
              <w:rPr>
                <w:rFonts w:hint="eastAsia" w:ascii="微软雅黑" w:hAnsi="微软雅黑" w:eastAsia="微软雅黑" w:cs="微软雅黑"/>
                <w:sz w:val="15"/>
                <w:szCs w:val="15"/>
                <w:lang w:val="en-US" w:eastAsia="zh-CN"/>
              </w:rPr>
              <w:t>行政处罚</w:t>
            </w:r>
          </w:p>
        </w:tc>
        <w:tc>
          <w:tcPr>
            <w:tcW w:w="854" w:type="dxa"/>
            <w:gridSpan w:val="2"/>
            <w:vMerge w:val="restart"/>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i w:val="0"/>
                <w:color w:val="000000"/>
                <w:kern w:val="0"/>
                <w:sz w:val="18"/>
                <w:szCs w:val="18"/>
                <w:u w:val="none"/>
                <w:lang w:val="en-US" w:eastAsia="zh-CN" w:bidi="ar"/>
              </w:rPr>
              <w:t>发布内容违法的化妆品广告的处罚</w:t>
            </w:r>
          </w:p>
        </w:tc>
        <w:tc>
          <w:tcPr>
            <w:tcW w:w="4107" w:type="dxa"/>
            <w:vMerge w:val="restart"/>
            <w:vAlign w:val="center"/>
          </w:tcPr>
          <w:p>
            <w:pPr>
              <w:rPr>
                <w:rFonts w:hint="eastAsia" w:ascii="微软雅黑" w:hAnsi="微软雅黑" w:eastAsia="微软雅黑" w:cs="微软雅黑"/>
                <w:i w:val="0"/>
                <w:caps w:val="0"/>
                <w:color w:val="333333"/>
                <w:spacing w:val="0"/>
                <w:sz w:val="18"/>
                <w:szCs w:val="18"/>
                <w:shd w:val="clear" w:fill="FFFFFF"/>
              </w:rPr>
            </w:pPr>
            <w:r>
              <w:rPr>
                <w:rFonts w:hint="eastAsia" w:ascii="微软雅黑" w:hAnsi="微软雅黑" w:eastAsia="微软雅黑" w:cs="微软雅黑"/>
                <w:i w:val="0"/>
                <w:caps w:val="0"/>
                <w:color w:val="333333"/>
                <w:spacing w:val="0"/>
                <w:sz w:val="18"/>
                <w:szCs w:val="18"/>
                <w:shd w:val="clear" w:fill="FFFFFF"/>
              </w:rPr>
              <w:t>第四十条在针对未成年人的大众传播媒介上不得发布医疗、药品、保健食品、医疗器械、化妆品、酒类、美容广告，以及不利于未成年人身心健康的网络游戏广告。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firstLine="180" w:firstLineChars="10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FFFFF"/>
              </w:rPr>
              <w:t>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六）违反本法第四十条第一款规定，在针对未成年人的大众传播媒介上发布医疗、药品、保健食品、医疗器械、化妆品、酒类、美容广告，以及不利于未成年人身心健康的网络游戏广告的。</w:t>
            </w:r>
          </w:p>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立案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对双随机抽检抽查、投诉、举报、移送移交、上级交办、专项检查及其他案源核查。符合立案条件的，15日内报请主要负责人审批同意并制定两名办案人员查办。</w:t>
            </w:r>
          </w:p>
        </w:tc>
        <w:tc>
          <w:tcPr>
            <w:tcW w:w="709"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815" w:type="dxa"/>
            <w:gridSpan w:val="3"/>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c>
          <w:tcPr>
            <w:tcW w:w="1166" w:type="dxa"/>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r>
              <w:rPr>
                <w:rFonts w:hint="eastAsia" w:ascii="微软雅黑" w:hAnsi="微软雅黑" w:eastAsia="微软雅黑" w:cs="微软雅黑"/>
                <w:b w:val="0"/>
                <w:bCs w:val="0"/>
                <w:sz w:val="15"/>
                <w:szCs w:val="15"/>
                <w:lang w:val="en-US" w:eastAsia="zh-CN"/>
              </w:rPr>
              <w:t>90日，案情复杂经部门负责人批准可以延长30日。特别复杂集体讨论决定是否继续延期以及延长的合理期限。</w:t>
            </w:r>
          </w:p>
        </w:tc>
        <w:tc>
          <w:tcPr>
            <w:tcW w:w="582" w:type="dxa"/>
            <w:gridSpan w:val="2"/>
            <w:vMerge w:val="restart"/>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i w:val="0"/>
                <w:caps w:val="0"/>
                <w:color w:val="333333"/>
                <w:spacing w:val="0"/>
                <w:sz w:val="15"/>
                <w:szCs w:val="15"/>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调查取证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收集书证、物证、视听材料、电子数据、证人证言、当事人陈述、鉴定意见、勘验笔录、现场笔录等证据</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草拟《调查终结报告》，分管负责人主持召开案审小组会议集体讨论决定</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制作送达《处罚告知书》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主管负责人对办案机构制作的《处罚告知书》审批后，送达当事人。</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陈述申辩听证</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收到《处罚告知书》3日内提出提出陈述申辩听证申请</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制作送达《行政处罚决定书》</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《行政处罚决定审批表》报主要负责人审批。重大复杂疑难案件，由案审会集体讨论决定。直接送达、邮寄送达、委托送达。</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执行与结案</w:t>
            </w: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r>
              <w:rPr>
                <w:rFonts w:hint="eastAsia" w:ascii="微软雅黑" w:hAnsi="微软雅黑" w:eastAsia="微软雅黑" w:cs="微软雅黑"/>
                <w:b w:val="0"/>
                <w:bCs w:val="0"/>
                <w:sz w:val="15"/>
                <w:szCs w:val="15"/>
                <w:lang w:val="en-US" w:eastAsia="zh-CN"/>
              </w:rPr>
              <w:t>15日内缴纳罚款；逾期不履行处罚决定的，经催告10日内仍不履行的，诉讼期满后3个月内经主要负责人批准申请法院强制执行。</w:t>
            </w: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8" w:hRule="atLeast"/>
        </w:trPr>
        <w:tc>
          <w:tcPr>
            <w:tcW w:w="578"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379"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54" w:type="dxa"/>
            <w:gridSpan w:val="2"/>
            <w:vMerge w:val="continue"/>
            <w:shd w:val="clear" w:color="auto" w:fill="auto"/>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107"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651" w:type="dxa"/>
            <w:gridSpan w:val="2"/>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4514" w:type="dxa"/>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709"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815" w:type="dxa"/>
            <w:gridSpan w:val="3"/>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1166" w:type="dxa"/>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c>
          <w:tcPr>
            <w:tcW w:w="582" w:type="dxa"/>
            <w:gridSpan w:val="2"/>
            <w:vMerge w:val="continue"/>
            <w:vAlign w:val="center"/>
          </w:tcPr>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b w:val="0"/>
                <w:bCs w:val="0"/>
                <w:sz w:val="15"/>
                <w:szCs w:val="15"/>
                <w:lang w:val="en-US" w:eastAsia="zh-CN"/>
              </w:rPr>
            </w:pPr>
          </w:p>
        </w:tc>
      </w:tr>
    </w:tbl>
    <w:p>
      <w:pPr>
        <w:keepNext w:val="0"/>
        <w:keepLines w:val="0"/>
        <w:pageBreakBefore w:val="0"/>
        <w:kinsoku/>
        <w:overflowPunct/>
        <w:topLinePunct w:val="0"/>
        <w:autoSpaceDE/>
        <w:autoSpaceDN/>
        <w:bidi w:val="0"/>
        <w:adjustRightInd/>
        <w:spacing w:line="240" w:lineRule="atLeast"/>
        <w:rPr>
          <w:rFonts w:hint="eastAsia" w:ascii="微软雅黑" w:hAnsi="微软雅黑" w:eastAsia="微软雅黑" w:cs="微软雅黑"/>
          <w:sz w:val="15"/>
          <w:szCs w:val="15"/>
        </w:rPr>
      </w:pPr>
    </w:p>
    <w:sectPr>
      <w:footerReference r:id="rId3" w:type="default"/>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经典仿宋简">
    <w:altName w:val="仿宋"/>
    <w:panose1 w:val="00000000000000000000"/>
    <w:charset w:val="86"/>
    <w:family w:val="auto"/>
    <w:pitch w:val="default"/>
    <w:sig w:usb0="00000000" w:usb1="00000000" w:usb2="0000001E" w:usb3="00000000" w:csb0="2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6F490"/>
    <w:multiLevelType w:val="singleLevel"/>
    <w:tmpl w:val="8BA6F490"/>
    <w:lvl w:ilvl="0" w:tentative="0">
      <w:start w:val="4"/>
      <w:numFmt w:val="chineseCounting"/>
      <w:suff w:val="space"/>
      <w:lvlText w:val="第%1条"/>
      <w:lvlJc w:val="left"/>
      <w:rPr>
        <w:rFonts w:hint="eastAsia"/>
      </w:rPr>
    </w:lvl>
  </w:abstractNum>
  <w:abstractNum w:abstractNumId="1">
    <w:nsid w:val="087B502D"/>
    <w:multiLevelType w:val="singleLevel"/>
    <w:tmpl w:val="087B502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324F"/>
    <w:rsid w:val="0004699F"/>
    <w:rsid w:val="00142F67"/>
    <w:rsid w:val="001D144E"/>
    <w:rsid w:val="001D5BC2"/>
    <w:rsid w:val="001E324F"/>
    <w:rsid w:val="00211458"/>
    <w:rsid w:val="002564A6"/>
    <w:rsid w:val="00263923"/>
    <w:rsid w:val="00280BAD"/>
    <w:rsid w:val="00412048"/>
    <w:rsid w:val="0050030B"/>
    <w:rsid w:val="00586791"/>
    <w:rsid w:val="005B6E5C"/>
    <w:rsid w:val="005C388D"/>
    <w:rsid w:val="0060412F"/>
    <w:rsid w:val="006A14EB"/>
    <w:rsid w:val="006A2A2B"/>
    <w:rsid w:val="006C07A1"/>
    <w:rsid w:val="006D38AC"/>
    <w:rsid w:val="00730805"/>
    <w:rsid w:val="00891944"/>
    <w:rsid w:val="00891B84"/>
    <w:rsid w:val="008E5A55"/>
    <w:rsid w:val="00911E09"/>
    <w:rsid w:val="00A21495"/>
    <w:rsid w:val="00A3407A"/>
    <w:rsid w:val="00AC2516"/>
    <w:rsid w:val="00AD31A9"/>
    <w:rsid w:val="00B52A22"/>
    <w:rsid w:val="00B840FA"/>
    <w:rsid w:val="00BE76CC"/>
    <w:rsid w:val="00D73E68"/>
    <w:rsid w:val="00DA5E58"/>
    <w:rsid w:val="00DE164C"/>
    <w:rsid w:val="00EB7292"/>
    <w:rsid w:val="00FB6379"/>
    <w:rsid w:val="01C00E8A"/>
    <w:rsid w:val="025A5AC4"/>
    <w:rsid w:val="03A37B29"/>
    <w:rsid w:val="04E953B5"/>
    <w:rsid w:val="056E78DB"/>
    <w:rsid w:val="057426C2"/>
    <w:rsid w:val="05E73BF3"/>
    <w:rsid w:val="068043DE"/>
    <w:rsid w:val="068A6AF8"/>
    <w:rsid w:val="070F4E8C"/>
    <w:rsid w:val="071F0143"/>
    <w:rsid w:val="07794A3C"/>
    <w:rsid w:val="07C34BF3"/>
    <w:rsid w:val="07FF0DE6"/>
    <w:rsid w:val="08635EE5"/>
    <w:rsid w:val="097076E5"/>
    <w:rsid w:val="0C137A7E"/>
    <w:rsid w:val="0D062E21"/>
    <w:rsid w:val="0DF669F4"/>
    <w:rsid w:val="0E860887"/>
    <w:rsid w:val="0ED428F6"/>
    <w:rsid w:val="0FBA5F74"/>
    <w:rsid w:val="0FE53715"/>
    <w:rsid w:val="10651686"/>
    <w:rsid w:val="10A06575"/>
    <w:rsid w:val="10EA675E"/>
    <w:rsid w:val="11110110"/>
    <w:rsid w:val="11917FDF"/>
    <w:rsid w:val="11AB5166"/>
    <w:rsid w:val="13C871BD"/>
    <w:rsid w:val="13DA2B22"/>
    <w:rsid w:val="13FE3B34"/>
    <w:rsid w:val="14943BE7"/>
    <w:rsid w:val="14B830CF"/>
    <w:rsid w:val="159F2E2B"/>
    <w:rsid w:val="15DA7E61"/>
    <w:rsid w:val="16B15464"/>
    <w:rsid w:val="18DA28DC"/>
    <w:rsid w:val="19CE1165"/>
    <w:rsid w:val="1A50609B"/>
    <w:rsid w:val="1A9F7A14"/>
    <w:rsid w:val="1B9216C1"/>
    <w:rsid w:val="1BEA517D"/>
    <w:rsid w:val="1E032D1A"/>
    <w:rsid w:val="1EA55465"/>
    <w:rsid w:val="1FB31097"/>
    <w:rsid w:val="1FCD4031"/>
    <w:rsid w:val="20C015C2"/>
    <w:rsid w:val="239A76BE"/>
    <w:rsid w:val="247240BA"/>
    <w:rsid w:val="25F47F8E"/>
    <w:rsid w:val="26313A26"/>
    <w:rsid w:val="26920399"/>
    <w:rsid w:val="26A06708"/>
    <w:rsid w:val="28247825"/>
    <w:rsid w:val="2A6E6533"/>
    <w:rsid w:val="2B1B7289"/>
    <w:rsid w:val="2C711454"/>
    <w:rsid w:val="2D0C10E3"/>
    <w:rsid w:val="2D6767D4"/>
    <w:rsid w:val="2E7D3162"/>
    <w:rsid w:val="303A644C"/>
    <w:rsid w:val="3057562F"/>
    <w:rsid w:val="307D43BA"/>
    <w:rsid w:val="30E212A9"/>
    <w:rsid w:val="30EA534C"/>
    <w:rsid w:val="32906DA5"/>
    <w:rsid w:val="34C567C9"/>
    <w:rsid w:val="358E4BBA"/>
    <w:rsid w:val="3623073A"/>
    <w:rsid w:val="364B5CFA"/>
    <w:rsid w:val="36914A73"/>
    <w:rsid w:val="36AF57CB"/>
    <w:rsid w:val="370F67DE"/>
    <w:rsid w:val="37B7780D"/>
    <w:rsid w:val="38C80750"/>
    <w:rsid w:val="39B408F1"/>
    <w:rsid w:val="39BE08A9"/>
    <w:rsid w:val="39C03649"/>
    <w:rsid w:val="39DA506D"/>
    <w:rsid w:val="3B693914"/>
    <w:rsid w:val="3CE1135A"/>
    <w:rsid w:val="3D5C3035"/>
    <w:rsid w:val="3D9E1BC4"/>
    <w:rsid w:val="3E774C59"/>
    <w:rsid w:val="3EBB6BE8"/>
    <w:rsid w:val="3F0035CA"/>
    <w:rsid w:val="406B0668"/>
    <w:rsid w:val="41680AAF"/>
    <w:rsid w:val="42B31E43"/>
    <w:rsid w:val="42C44DEF"/>
    <w:rsid w:val="43782F84"/>
    <w:rsid w:val="43CD6466"/>
    <w:rsid w:val="43E93E6D"/>
    <w:rsid w:val="43F973B7"/>
    <w:rsid w:val="44A97418"/>
    <w:rsid w:val="469C06FB"/>
    <w:rsid w:val="47774FC4"/>
    <w:rsid w:val="48C242D0"/>
    <w:rsid w:val="48EC5EB8"/>
    <w:rsid w:val="49527A39"/>
    <w:rsid w:val="4B7B5513"/>
    <w:rsid w:val="4B7D5AB4"/>
    <w:rsid w:val="4BE525B9"/>
    <w:rsid w:val="4F312D6C"/>
    <w:rsid w:val="5073174F"/>
    <w:rsid w:val="50904302"/>
    <w:rsid w:val="51991F3A"/>
    <w:rsid w:val="53234801"/>
    <w:rsid w:val="53A240C2"/>
    <w:rsid w:val="55B91D94"/>
    <w:rsid w:val="55F8047C"/>
    <w:rsid w:val="56927F88"/>
    <w:rsid w:val="56FD7520"/>
    <w:rsid w:val="57BA72EE"/>
    <w:rsid w:val="581B087A"/>
    <w:rsid w:val="58A5349D"/>
    <w:rsid w:val="58F842B1"/>
    <w:rsid w:val="5B372FEE"/>
    <w:rsid w:val="5BA914F7"/>
    <w:rsid w:val="5DAB2B18"/>
    <w:rsid w:val="5E9D4A81"/>
    <w:rsid w:val="60410CCA"/>
    <w:rsid w:val="60E1508B"/>
    <w:rsid w:val="6116118C"/>
    <w:rsid w:val="61C045F5"/>
    <w:rsid w:val="651A6C2D"/>
    <w:rsid w:val="6561566D"/>
    <w:rsid w:val="65825D67"/>
    <w:rsid w:val="66F2505C"/>
    <w:rsid w:val="67FA64E1"/>
    <w:rsid w:val="683710EB"/>
    <w:rsid w:val="683C0E88"/>
    <w:rsid w:val="68871040"/>
    <w:rsid w:val="693824D3"/>
    <w:rsid w:val="696F5774"/>
    <w:rsid w:val="6B5B1F6F"/>
    <w:rsid w:val="6B9A7C09"/>
    <w:rsid w:val="6CC8413B"/>
    <w:rsid w:val="6D703CC3"/>
    <w:rsid w:val="6EC11D04"/>
    <w:rsid w:val="6ECE6654"/>
    <w:rsid w:val="6EE4101C"/>
    <w:rsid w:val="6F1C76BC"/>
    <w:rsid w:val="6F4F3DED"/>
    <w:rsid w:val="6FB44BEC"/>
    <w:rsid w:val="700179BB"/>
    <w:rsid w:val="704B274B"/>
    <w:rsid w:val="707D3672"/>
    <w:rsid w:val="709111DD"/>
    <w:rsid w:val="71B06BF7"/>
    <w:rsid w:val="71B56FB0"/>
    <w:rsid w:val="73231B34"/>
    <w:rsid w:val="73B317E2"/>
    <w:rsid w:val="7445543F"/>
    <w:rsid w:val="749317C1"/>
    <w:rsid w:val="74A80355"/>
    <w:rsid w:val="75D46C84"/>
    <w:rsid w:val="77BC3F9D"/>
    <w:rsid w:val="786B3729"/>
    <w:rsid w:val="78CC70B5"/>
    <w:rsid w:val="78DE013B"/>
    <w:rsid w:val="793522DD"/>
    <w:rsid w:val="795E542E"/>
    <w:rsid w:val="7ADC7B35"/>
    <w:rsid w:val="7BC21A5F"/>
    <w:rsid w:val="7C3B55E9"/>
    <w:rsid w:val="7C94630A"/>
    <w:rsid w:val="7D5362AF"/>
    <w:rsid w:val="7DCC128D"/>
    <w:rsid w:val="7E6D5FB5"/>
    <w:rsid w:val="7EA8507B"/>
    <w:rsid w:val="7FD13F79"/>
    <w:rsid w:val="7FED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Acronym"/>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semiHidden/>
    <w:unhideWhenUsed/>
    <w:qFormat/>
    <w:uiPriority w:val="99"/>
    <w:rPr>
      <w:color w:val="333333"/>
      <w:u w:val="none"/>
    </w:rPr>
  </w:style>
  <w:style w:type="character" w:styleId="15">
    <w:name w:val="HTML Code"/>
    <w:basedOn w:val="8"/>
    <w:semiHidden/>
    <w:unhideWhenUsed/>
    <w:qFormat/>
    <w:uiPriority w:val="99"/>
    <w:rPr>
      <w:rFonts w:ascii="Courier New" w:hAnsi="Courier New"/>
      <w:sz w:val="20"/>
    </w:rPr>
  </w:style>
  <w:style w:type="character" w:styleId="16">
    <w:name w:val="HTML Cite"/>
    <w:basedOn w:val="8"/>
    <w:semiHidden/>
    <w:unhideWhenUsed/>
    <w:qFormat/>
    <w:uiPriority w:val="99"/>
  </w:style>
  <w:style w:type="character" w:customStyle="1" w:styleId="17">
    <w:name w:val="页眉 Char"/>
    <w:basedOn w:val="8"/>
    <w:link w:val="4"/>
    <w:semiHidden/>
    <w:qFormat/>
    <w:uiPriority w:val="99"/>
    <w:rPr>
      <w:sz w:val="18"/>
      <w:szCs w:val="18"/>
    </w:rPr>
  </w:style>
  <w:style w:type="character" w:customStyle="1" w:styleId="18">
    <w:name w:val="页脚 Char"/>
    <w:basedOn w:val="8"/>
    <w:link w:val="3"/>
    <w:semiHidden/>
    <w:qFormat/>
    <w:uiPriority w:val="99"/>
    <w:rPr>
      <w:sz w:val="18"/>
      <w:szCs w:val="18"/>
    </w:rPr>
  </w:style>
  <w:style w:type="character" w:customStyle="1" w:styleId="19">
    <w:name w:val="apple-converted-space"/>
    <w:basedOn w:val="8"/>
    <w:qFormat/>
    <w:uiPriority w:val="0"/>
  </w:style>
  <w:style w:type="character" w:customStyle="1" w:styleId="20">
    <w:name w:val="action"/>
    <w:basedOn w:val="8"/>
    <w:qFormat/>
    <w:uiPriority w:val="0"/>
    <w:rPr>
      <w:shd w:val="clear" w:fill="2181B6"/>
    </w:rPr>
  </w:style>
  <w:style w:type="character" w:customStyle="1" w:styleId="21">
    <w:name w:val="hover8"/>
    <w:basedOn w:val="8"/>
    <w:qFormat/>
    <w:uiPriority w:val="0"/>
    <w:rPr>
      <w:shd w:val="clear" w:fill="2181B6"/>
    </w:rPr>
  </w:style>
  <w:style w:type="character" w:customStyle="1" w:styleId="22">
    <w:name w:val="hover7"/>
    <w:basedOn w:val="8"/>
    <w:qFormat/>
    <w:uiPriority w:val="0"/>
    <w:rPr>
      <w:shd w:val="clear" w:fill="2181B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2849</Words>
  <Characters>16244</Characters>
  <Lines>135</Lines>
  <Paragraphs>38</Paragraphs>
  <TotalTime>18</TotalTime>
  <ScaleCrop>false</ScaleCrop>
  <LinksUpToDate>false</LinksUpToDate>
  <CharactersWithSpaces>19055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2017-05-12T10:09:00Z</dcterms:created>
  <dc:creator>Lenovo</dc:creator>
  <cp:lastModifiedBy>夏日清凉（帆）</cp:lastModifiedBy>
  <cp:lastPrinted>2020-08-04T01:36:57Z</cp:lastPrinted>
  <dcterms:modified xsi:type="dcterms:W3CDTF">2020-08-04T01:52:20Z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