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380"/>
          <w:tab w:val="center" w:pos="8400"/>
        </w:tabs>
        <w:jc w:val="center"/>
        <w:rPr>
          <w:rFonts w:hint="eastAsia" w:asciiTheme="minorEastAsia" w:hAnsiTheme="minorEastAsia" w:eastAsiaTheme="minorEastAsia"/>
          <w:sz w:val="36"/>
          <w:szCs w:val="36"/>
          <w:lang w:eastAsia="zh-CN"/>
        </w:rPr>
      </w:pPr>
      <w:r>
        <w:rPr>
          <w:rFonts w:hint="eastAsia" w:asciiTheme="minorEastAsia" w:hAnsiTheme="minorEastAsia" w:eastAsiaTheme="minorEastAsia"/>
          <w:b/>
          <w:bCs/>
          <w:sz w:val="44"/>
          <w:szCs w:val="44"/>
          <w:lang w:eastAsia="zh-CN"/>
        </w:rPr>
        <w:t>舞阳县市场监督管理局</w:t>
      </w:r>
      <w:r>
        <w:rPr>
          <w:rFonts w:hint="eastAsia" w:asciiTheme="minorEastAsia" w:hAnsiTheme="minorEastAsia" w:eastAsiaTheme="minorEastAsia"/>
          <w:b/>
          <w:bCs/>
          <w:sz w:val="44"/>
          <w:szCs w:val="44"/>
        </w:rPr>
        <w:t>权力清单</w:t>
      </w:r>
      <w:r>
        <w:rPr>
          <w:rFonts w:hint="eastAsia" w:asciiTheme="minorEastAsia" w:hAnsiTheme="minorEastAsia" w:eastAsiaTheme="minorEastAsia"/>
          <w:b/>
          <w:bCs/>
          <w:sz w:val="44"/>
          <w:szCs w:val="44"/>
          <w:lang w:eastAsia="zh-CN"/>
        </w:rPr>
        <w:t>（网监）</w:t>
      </w:r>
    </w:p>
    <w:tbl>
      <w:tblPr>
        <w:tblStyle w:val="6"/>
        <w:tblW w:w="14850"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2"/>
        <w:gridCol w:w="720"/>
        <w:gridCol w:w="3097"/>
        <w:gridCol w:w="1100"/>
        <w:gridCol w:w="8112"/>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33" w:type="dxa"/>
            <w:gridSpan w:val="2"/>
            <w:vAlign w:val="center"/>
          </w:tcPr>
          <w:p>
            <w:pPr>
              <w:jc w:val="cente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序号</w:t>
            </w:r>
          </w:p>
        </w:tc>
        <w:tc>
          <w:tcPr>
            <w:tcW w:w="720" w:type="dxa"/>
            <w:vAlign w:val="center"/>
          </w:tcPr>
          <w:p>
            <w:pPr>
              <w:jc w:val="cente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职权类别</w:t>
            </w:r>
          </w:p>
        </w:tc>
        <w:tc>
          <w:tcPr>
            <w:tcW w:w="3097" w:type="dxa"/>
            <w:vAlign w:val="center"/>
          </w:tcPr>
          <w:p>
            <w:pPr>
              <w:jc w:val="cente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职权名称</w:t>
            </w:r>
          </w:p>
        </w:tc>
        <w:tc>
          <w:tcPr>
            <w:tcW w:w="1100" w:type="dxa"/>
            <w:vAlign w:val="center"/>
          </w:tcPr>
          <w:p>
            <w:pPr>
              <w:jc w:val="center"/>
              <w:rPr>
                <w:rFonts w:cs="经典仿宋简" w:asciiTheme="minorEastAsia" w:hAnsiTheme="minorEastAsia" w:eastAsiaTheme="minorEastAsia"/>
                <w:bCs/>
                <w:szCs w:val="21"/>
              </w:rPr>
            </w:pPr>
            <w:r>
              <w:rPr>
                <w:rFonts w:hint="eastAsia" w:cs="经典仿宋简" w:asciiTheme="minorEastAsia" w:hAnsiTheme="minorEastAsia" w:eastAsiaTheme="minorEastAsia"/>
                <w:bCs/>
                <w:szCs w:val="21"/>
              </w:rPr>
              <w:t>具体事项</w:t>
            </w:r>
          </w:p>
          <w:p>
            <w:pPr>
              <w:jc w:val="center"/>
              <w:rPr>
                <w:rFonts w:cs="经典仿宋简" w:asciiTheme="minorEastAsia" w:hAnsiTheme="minorEastAsia" w:eastAsiaTheme="minorEastAsia"/>
                <w:szCs w:val="21"/>
              </w:rPr>
            </w:pPr>
            <w:r>
              <w:rPr>
                <w:rFonts w:hint="eastAsia" w:cs="经典仿宋简" w:asciiTheme="minorEastAsia" w:hAnsiTheme="minorEastAsia" w:eastAsiaTheme="minorEastAsia"/>
                <w:bCs/>
                <w:szCs w:val="21"/>
              </w:rPr>
              <w:t>（子项）</w:t>
            </w:r>
          </w:p>
        </w:tc>
        <w:tc>
          <w:tcPr>
            <w:tcW w:w="8112" w:type="dxa"/>
            <w:vAlign w:val="center"/>
          </w:tcPr>
          <w:p>
            <w:pPr>
              <w:jc w:val="cente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实施依据</w:t>
            </w:r>
          </w:p>
        </w:tc>
        <w:tc>
          <w:tcPr>
            <w:tcW w:w="1188" w:type="dxa"/>
            <w:vAlign w:val="center"/>
          </w:tcPr>
          <w:p>
            <w:pP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承办机构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31" w:type="dxa"/>
            <w:vAlign w:val="center"/>
          </w:tcPr>
          <w:p>
            <w:pPr>
              <w:jc w:val="center"/>
              <w:rPr>
                <w:rFonts w:hint="default" w:cs="经典仿宋简" w:asciiTheme="minorEastAsia" w:hAnsiTheme="minorEastAsia" w:eastAsiaTheme="minorEastAsia"/>
                <w:szCs w:val="21"/>
                <w:lang w:val="en-US" w:eastAsia="zh-CN"/>
              </w:rPr>
            </w:pPr>
            <w:r>
              <w:rPr>
                <w:rFonts w:hint="eastAsia" w:cs="经典仿宋简" w:asciiTheme="minorEastAsia" w:hAnsiTheme="minorEastAsia" w:eastAsiaTheme="minorEastAsia"/>
                <w:szCs w:val="21"/>
                <w:lang w:val="en-US" w:eastAsia="zh-CN"/>
              </w:rPr>
              <w:t>1</w:t>
            </w:r>
          </w:p>
        </w:tc>
        <w:tc>
          <w:tcPr>
            <w:tcW w:w="722" w:type="dxa"/>
            <w:gridSpan w:val="2"/>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shd w:val="clear" w:color="auto" w:fill="auto"/>
            <w:vAlign w:val="center"/>
          </w:tcPr>
          <w:p>
            <w:pP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从事网络商品交易的自然人未通过第三方交易平台开展经营活动，或未提交真实身份信息，或具备登记注册条件而未依法办理工商登记的处罚</w:t>
            </w:r>
          </w:p>
        </w:tc>
        <w:tc>
          <w:tcPr>
            <w:tcW w:w="1100" w:type="dxa"/>
            <w:vAlign w:val="center"/>
          </w:tcPr>
          <w:p>
            <w:pPr>
              <w:jc w:val="center"/>
              <w:rPr>
                <w:rFonts w:cs="经典仿宋简" w:asciiTheme="minorEastAsia" w:hAnsiTheme="minorEastAsia" w:eastAsiaTheme="minorEastAsia"/>
                <w:szCs w:val="21"/>
              </w:rPr>
            </w:pPr>
            <w:r>
              <w:rPr>
                <w:rFonts w:hint="eastAsia" w:asciiTheme="minorEastAsia" w:hAnsiTheme="minorEastAsia" w:eastAsiaTheme="minorEastAsia"/>
                <w:szCs w:val="21"/>
              </w:rPr>
              <w:t>无</w:t>
            </w:r>
          </w:p>
        </w:tc>
        <w:tc>
          <w:tcPr>
            <w:tcW w:w="8112" w:type="dxa"/>
            <w:vAlign w:val="center"/>
          </w:tcPr>
          <w:p>
            <w:pPr>
              <w:rPr>
                <w:rFonts w:cs="经典仿宋简" w:asciiTheme="minorEastAsia" w:hAnsiTheme="minorEastAsia" w:eastAsiaTheme="minorEastAsia"/>
                <w:szCs w:val="21"/>
              </w:rPr>
            </w:pPr>
            <w:r>
              <w:rPr>
                <w:rFonts w:hint="eastAsia" w:cs="经典仿宋简" w:asciiTheme="minorEastAsia" w:hAnsiTheme="minorEastAsia" w:eastAsiaTheme="minorEastAsia"/>
                <w:szCs w:val="21"/>
              </w:rPr>
              <w:t>第五十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1188"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局属执法机构</w:t>
            </w: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33" w:type="dxa"/>
            <w:gridSpan w:val="2"/>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第三方交易平台经营者不履行相关义务的处罚</w:t>
            </w:r>
          </w:p>
        </w:tc>
        <w:tc>
          <w:tcPr>
            <w:tcW w:w="110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112" w:type="dxa"/>
          </w:tcPr>
          <w:p>
            <w:pPr>
              <w:rPr>
                <w:rFonts w:asciiTheme="minorEastAsia" w:hAnsiTheme="minorEastAsia" w:eastAsiaTheme="minorEastAsia"/>
                <w:szCs w:val="21"/>
              </w:rPr>
            </w:pPr>
            <w:r>
              <w:rPr>
                <w:rFonts w:hint="eastAsia" w:asciiTheme="minorEastAsia" w:hAnsiTheme="minorEastAsia" w:eastAsiaTheme="minorEastAsia"/>
                <w:szCs w:val="21"/>
              </w:rPr>
              <w:t>《中华人民共和国电子商务法》第八十条：“电子商务平台经营者有下列行为之一的，由有关主管部门责令限期改正；逾期不改正的，处二万元以上十万元以下的罚款；情节严重的，责令停业整顿，并处十万元以上五十万元以下的罚款： （一）不履行本法第二十七条规定的核验、登记义务的； （四）不履行本法第三十一条规定的商品和服务信息、交易信息保存义务的。”第八十三条：“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tc>
        <w:tc>
          <w:tcPr>
            <w:tcW w:w="1188"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gridSpan w:val="2"/>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为网络商品交易提供服务的有关服务经营者不履行相关义务的处罚</w:t>
            </w:r>
          </w:p>
        </w:tc>
        <w:tc>
          <w:tcPr>
            <w:tcW w:w="110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112" w:type="dxa"/>
          </w:tcPr>
          <w:p>
            <w:pPr>
              <w:rPr>
                <w:rFonts w:asciiTheme="minorEastAsia" w:hAnsiTheme="minorEastAsia" w:eastAsiaTheme="minorEastAsia"/>
                <w:szCs w:val="21"/>
              </w:rPr>
            </w:pPr>
            <w:r>
              <w:rPr>
                <w:rFonts w:hint="eastAsia" w:asciiTheme="minorEastAsia" w:hAnsiTheme="minorEastAsia" w:eastAsiaTheme="minorEastAsia"/>
                <w:szCs w:val="21"/>
              </w:rPr>
              <w:t>《网络交易管理办法》第五十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c>
          <w:tcPr>
            <w:tcW w:w="118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gridSpan w:val="2"/>
            <w:vAlign w:val="center"/>
          </w:tcPr>
          <w:p>
            <w:pPr>
              <w:jc w:val="center"/>
              <w:rPr>
                <w:rFonts w:hint="eastAsia" w:cs="经典仿宋简" w:asciiTheme="minorEastAsia" w:hAnsiTheme="minorEastAsia" w:eastAsiaTheme="minorEastAsia"/>
                <w:szCs w:val="21"/>
                <w:lang w:eastAsia="zh-CN"/>
              </w:rPr>
            </w:pPr>
            <w:r>
              <w:rPr>
                <w:rFonts w:hint="eastAsia" w:cs="经典仿宋简" w:asciiTheme="minorEastAsia" w:hAnsiTheme="minorEastAsia" w:eastAsiaTheme="minorEastAsia"/>
                <w:szCs w:val="21"/>
                <w:lang w:val="en-US" w:eastAsia="zh-CN"/>
              </w:rPr>
              <w:t>4</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vAlign w:val="center"/>
          </w:tcPr>
          <w:p>
            <w:pPr>
              <w:rPr>
                <w:rFonts w:cs="经典仿宋简" w:asciiTheme="minorEastAsia" w:hAnsiTheme="minorEastAsia" w:eastAsiaTheme="minorEastAsia"/>
                <w:szCs w:val="21"/>
              </w:rPr>
            </w:pPr>
            <w:r>
              <w:rPr>
                <w:rFonts w:hint="eastAsia" w:asciiTheme="minorEastAsia" w:hAnsiTheme="minorEastAsia" w:eastAsiaTheme="minorEastAsia"/>
                <w:szCs w:val="21"/>
              </w:rPr>
              <w:t>未按规定公开营业执照登载信息或电子链接标识的处罚</w:t>
            </w:r>
          </w:p>
        </w:tc>
        <w:tc>
          <w:tcPr>
            <w:tcW w:w="1100" w:type="dxa"/>
            <w:vAlign w:val="center"/>
          </w:tcPr>
          <w:p>
            <w:pPr>
              <w:jc w:val="center"/>
              <w:rPr>
                <w:rFonts w:cs="经典仿宋简" w:asciiTheme="minorEastAsia" w:hAnsiTheme="minorEastAsia" w:eastAsiaTheme="minorEastAsia"/>
                <w:szCs w:val="21"/>
              </w:rPr>
            </w:pPr>
            <w:r>
              <w:rPr>
                <w:rFonts w:hint="eastAsia" w:asciiTheme="minorEastAsia" w:hAnsiTheme="minorEastAsia" w:eastAsiaTheme="minorEastAsia"/>
                <w:szCs w:val="21"/>
              </w:rPr>
              <w:t>无</w:t>
            </w:r>
          </w:p>
        </w:tc>
        <w:tc>
          <w:tcPr>
            <w:tcW w:w="8112" w:type="dxa"/>
          </w:tcPr>
          <w:p>
            <w:pPr>
              <w:rPr>
                <w:rFonts w:cs="经典仿宋简" w:asciiTheme="minorEastAsia" w:hAnsiTheme="minorEastAsia" w:eastAsiaTheme="minorEastAsia"/>
                <w:szCs w:val="21"/>
              </w:rPr>
            </w:pPr>
            <w:r>
              <w:rPr>
                <w:rFonts w:hint="eastAsia" w:asciiTheme="minorEastAsia" w:hAnsiTheme="minorEastAsia" w:eastAsiaTheme="minorEastAsia"/>
                <w:szCs w:val="21"/>
              </w:rPr>
              <w:t>《中华人民共和国电子商务法》第八十条：“电子商务经营者违反本法规定，有下列行为之一的，由市场监督管理部门责令限期改正，可以处一万元以下的罚款，对其中的电子商务平台经营者，依照本法第八十一条第一款的规定处罚： （一）未在首页显著位置公示营业执照信息、行政许可信息、属于不需要办理市场主体登记情形等信息,或者上述信息的链接标识的；”</w:t>
            </w:r>
          </w:p>
        </w:tc>
        <w:tc>
          <w:tcPr>
            <w:tcW w:w="118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gridSpan w:val="2"/>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5</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网络商品经营者、有关服务经营者未按规定报送经营统计资料的处罚</w:t>
            </w:r>
          </w:p>
        </w:tc>
        <w:tc>
          <w:tcPr>
            <w:tcW w:w="110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112"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《网络交易管理办法》：第五十一条：“违反本办法第八条、第二十一条规定的，予以警告，责令改正，拒不改正的，处以一万元以下的罚款。”</w:t>
            </w:r>
          </w:p>
        </w:tc>
        <w:tc>
          <w:tcPr>
            <w:tcW w:w="118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33" w:type="dxa"/>
            <w:gridSpan w:val="2"/>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6</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违反《网络交易管理办法》第十九条的处罚</w:t>
            </w:r>
          </w:p>
        </w:tc>
        <w:tc>
          <w:tcPr>
            <w:tcW w:w="110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112"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网络交易管理办法》第五十三条：“违反本办法第十九条第（一）项规定的，按照《反不正当竞争法》第二十一条的规定处罚；违反本办法第十九条第（二）项、第（四）项规定的，按照《反不正当竞争法》第二十四条的规定处罚；违反本办法第十九条第（三）项规定的，按照《反不正当竞争法》第二十六条的规定处罚；违反本办法第十九条第（五）项规定的，予以警告，责令改正，并处一万元以上三万元以下的罚款。”</w:t>
            </w:r>
          </w:p>
        </w:tc>
        <w:tc>
          <w:tcPr>
            <w:tcW w:w="118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633" w:type="dxa"/>
            <w:gridSpan w:val="2"/>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7</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网络商品经营者、有关服务经营者对竞争对手的网站或者网页进行非法技术攻击，造成竞争对手无法正常经营的处罚</w:t>
            </w:r>
          </w:p>
        </w:tc>
        <w:tc>
          <w:tcPr>
            <w:tcW w:w="110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112"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《网络交易管理办法》第五十四条：“违反本办法第二十条规定的，予以警告，责令改正，并处一万元以上三万元以下的罚款。”</w:t>
            </w:r>
          </w:p>
        </w:tc>
        <w:tc>
          <w:tcPr>
            <w:tcW w:w="1188"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gridSpan w:val="2"/>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 xml:space="preserve">网络商品经营者、有关服务经营者滥用格式合同条款的处罚  </w:t>
            </w:r>
          </w:p>
        </w:tc>
        <w:tc>
          <w:tcPr>
            <w:tcW w:w="110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112"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《网络交易管理办法》第五十二条：“违反本办法第十七条规定的，按照《合同违法行为监督处理办法》的有关规定处罚。”</w:t>
            </w:r>
            <w:bookmarkStart w:id="0" w:name="_GoBack"/>
            <w:bookmarkEnd w:id="0"/>
          </w:p>
        </w:tc>
        <w:tc>
          <w:tcPr>
            <w:tcW w:w="118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gridSpan w:val="2"/>
            <w:vAlign w:val="center"/>
          </w:tcPr>
          <w:p>
            <w:pPr>
              <w:jc w:val="center"/>
              <w:rPr>
                <w:rFonts w:hint="eastAsia" w:cs="经典仿宋简" w:asciiTheme="minorEastAsia" w:hAnsiTheme="minorEastAsia" w:eastAsiaTheme="minorEastAsia"/>
                <w:szCs w:val="21"/>
                <w:lang w:eastAsia="zh-CN"/>
              </w:rPr>
            </w:pPr>
            <w:r>
              <w:rPr>
                <w:rFonts w:hint="eastAsia" w:cs="经典仿宋简" w:asciiTheme="minorEastAsia" w:hAnsiTheme="minorEastAsia" w:eastAsiaTheme="minorEastAsia"/>
                <w:szCs w:val="21"/>
                <w:lang w:val="en-US" w:eastAsia="zh-CN"/>
              </w:rPr>
              <w:t>9</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vAlign w:val="center"/>
          </w:tcPr>
          <w:p>
            <w:pPr>
              <w:rPr>
                <w:rFonts w:cs="经典仿宋简" w:asciiTheme="minorEastAsia" w:hAnsiTheme="minorEastAsia" w:eastAsiaTheme="minorEastAsia"/>
                <w:szCs w:val="21"/>
              </w:rPr>
            </w:pPr>
            <w:r>
              <w:rPr>
                <w:rFonts w:hint="eastAsia" w:asciiTheme="minorEastAsia" w:hAnsiTheme="minorEastAsia" w:eastAsiaTheme="minorEastAsia"/>
                <w:szCs w:val="21"/>
              </w:rPr>
              <w:t>合同欺诈的处罚　</w:t>
            </w:r>
          </w:p>
        </w:tc>
        <w:tc>
          <w:tcPr>
            <w:tcW w:w="1100" w:type="dxa"/>
            <w:vAlign w:val="center"/>
          </w:tcPr>
          <w:p>
            <w:pPr>
              <w:jc w:val="center"/>
              <w:rPr>
                <w:rFonts w:cs="经典仿宋简" w:asciiTheme="minorEastAsia" w:hAnsiTheme="minorEastAsia" w:eastAsiaTheme="minorEastAsia"/>
                <w:szCs w:val="21"/>
              </w:rPr>
            </w:pPr>
            <w:r>
              <w:rPr>
                <w:rFonts w:hint="eastAsia" w:asciiTheme="minorEastAsia" w:hAnsiTheme="minorEastAsia" w:eastAsiaTheme="minorEastAsia"/>
                <w:szCs w:val="21"/>
              </w:rPr>
              <w:t>无</w:t>
            </w:r>
          </w:p>
        </w:tc>
        <w:tc>
          <w:tcPr>
            <w:tcW w:w="8112" w:type="dxa"/>
            <w:vAlign w:val="center"/>
          </w:tcPr>
          <w:p>
            <w:pPr>
              <w:rPr>
                <w:rFonts w:cs="经典仿宋简" w:asciiTheme="minorEastAsia" w:hAnsiTheme="minorEastAsia" w:eastAsiaTheme="minorEastAsia"/>
                <w:szCs w:val="21"/>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118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33" w:type="dxa"/>
            <w:gridSpan w:val="2"/>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订立、履行合同危害国家利益、社会公共利益的处罚</w:t>
            </w:r>
          </w:p>
        </w:tc>
        <w:tc>
          <w:tcPr>
            <w:tcW w:w="1100" w:type="dxa"/>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112"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118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33" w:type="dxa"/>
            <w:gridSpan w:val="2"/>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为他人合同违法行为提供便利条件的处罚</w:t>
            </w:r>
          </w:p>
        </w:tc>
        <w:tc>
          <w:tcPr>
            <w:tcW w:w="110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112" w:type="dxa"/>
          </w:tcPr>
          <w:p>
            <w:pPr>
              <w:rPr>
                <w:rFonts w:asciiTheme="minorEastAsia" w:hAnsiTheme="minorEastAsia" w:eastAsiaTheme="minorEastAsia"/>
                <w:szCs w:val="21"/>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118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33" w:type="dxa"/>
            <w:gridSpan w:val="2"/>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p>
        </w:tc>
        <w:tc>
          <w:tcPr>
            <w:tcW w:w="72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97"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经营者利用格式条款免除自己责任的处罚</w:t>
            </w:r>
          </w:p>
        </w:tc>
        <w:tc>
          <w:tcPr>
            <w:tcW w:w="110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112" w:type="dxa"/>
          </w:tcPr>
          <w:p>
            <w:pPr>
              <w:rPr>
                <w:rFonts w:asciiTheme="minorEastAsia" w:hAnsiTheme="minorEastAsia" w:eastAsiaTheme="minorEastAsia"/>
                <w:szCs w:val="21"/>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118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bl>
    <w:p>
      <w:pPr>
        <w:rPr>
          <w:rFonts w:asciiTheme="minorEastAsia" w:hAnsiTheme="minorEastAsia" w:eastAsiaTheme="minorEastAsia"/>
          <w:szCs w:val="21"/>
        </w:rPr>
      </w:pPr>
    </w:p>
    <w:tbl>
      <w:tblPr>
        <w:tblStyle w:val="6"/>
        <w:tblW w:w="14800"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17"/>
        <w:gridCol w:w="3087"/>
        <w:gridCol w:w="1146"/>
        <w:gridCol w:w="8035"/>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631" w:type="dxa"/>
            <w:vAlign w:val="center"/>
          </w:tcPr>
          <w:p>
            <w:pPr>
              <w:jc w:val="center"/>
              <w:rPr>
                <w:rFonts w:cs="经典仿宋简"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p>
        </w:tc>
        <w:tc>
          <w:tcPr>
            <w:tcW w:w="717" w:type="dxa"/>
            <w:vAlign w:val="center"/>
          </w:tcPr>
          <w:p>
            <w:pPr>
              <w:rPr>
                <w:rFonts w:cs="经典仿宋简" w:asciiTheme="minorEastAsia" w:hAnsiTheme="minorEastAsia" w:eastAsiaTheme="minorEastAsia"/>
                <w:szCs w:val="21"/>
              </w:rPr>
            </w:pPr>
            <w:r>
              <w:rPr>
                <w:rFonts w:hint="eastAsia" w:asciiTheme="minorEastAsia" w:hAnsiTheme="minorEastAsia" w:eastAsiaTheme="minorEastAsia"/>
                <w:szCs w:val="21"/>
              </w:rPr>
              <w:t>行政处罚</w:t>
            </w:r>
          </w:p>
        </w:tc>
        <w:tc>
          <w:tcPr>
            <w:tcW w:w="3087" w:type="dxa"/>
            <w:shd w:val="clear" w:color="auto" w:fill="auto"/>
            <w:vAlign w:val="center"/>
          </w:tcPr>
          <w:p>
            <w:pPr>
              <w:rPr>
                <w:rFonts w:cs="经典仿宋简" w:asciiTheme="minorEastAsia" w:hAnsiTheme="minorEastAsia" w:eastAsiaTheme="minorEastAsia"/>
                <w:szCs w:val="21"/>
              </w:rPr>
            </w:pPr>
            <w:r>
              <w:rPr>
                <w:rFonts w:hint="eastAsia" w:asciiTheme="minorEastAsia" w:hAnsiTheme="minorEastAsia" w:eastAsiaTheme="minorEastAsia"/>
                <w:szCs w:val="21"/>
              </w:rPr>
              <w:t>经营者利用格式条款加重消费者责任的处罚</w:t>
            </w:r>
          </w:p>
        </w:tc>
        <w:tc>
          <w:tcPr>
            <w:tcW w:w="1146" w:type="dxa"/>
            <w:shd w:val="clear" w:color="auto" w:fill="auto"/>
            <w:vAlign w:val="center"/>
          </w:tcPr>
          <w:p>
            <w:pPr>
              <w:jc w:val="center"/>
              <w:rPr>
                <w:rFonts w:cs="经典仿宋简" w:asciiTheme="minorEastAsia" w:hAnsiTheme="minorEastAsia" w:eastAsiaTheme="minorEastAsia"/>
                <w:szCs w:val="21"/>
              </w:rPr>
            </w:pPr>
            <w:r>
              <w:rPr>
                <w:rFonts w:hint="eastAsia" w:asciiTheme="minorEastAsia" w:hAnsiTheme="minorEastAsia" w:eastAsiaTheme="minorEastAsia"/>
                <w:szCs w:val="21"/>
              </w:rPr>
              <w:t>无</w:t>
            </w:r>
          </w:p>
        </w:tc>
        <w:tc>
          <w:tcPr>
            <w:tcW w:w="8035" w:type="dxa"/>
          </w:tcPr>
          <w:p>
            <w:pPr>
              <w:rPr>
                <w:rFonts w:cs="经典仿宋简" w:asciiTheme="minorEastAsia" w:hAnsiTheme="minorEastAsia" w:eastAsiaTheme="minorEastAsia"/>
                <w:szCs w:val="21"/>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1184" w:type="dxa"/>
            <w:shd w:val="clear" w:color="auto" w:fill="auto"/>
            <w:vAlign w:val="center"/>
          </w:tcPr>
          <w:p>
            <w:pPr>
              <w:rPr>
                <w:rFonts w:cs="经典仿宋简"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31"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p>
        </w:tc>
        <w:tc>
          <w:tcPr>
            <w:tcW w:w="71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8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经营者利用格式条款排除消费者权利的处罚</w:t>
            </w:r>
          </w:p>
        </w:tc>
        <w:tc>
          <w:tcPr>
            <w:tcW w:w="114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035" w:type="dxa"/>
          </w:tcPr>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合同违法行为监督处理办法》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c>
          <w:tcPr>
            <w:tcW w:w="118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631" w:type="dxa"/>
            <w:vAlign w:val="center"/>
          </w:tcPr>
          <w:p>
            <w:pPr>
              <w:jc w:val="center"/>
              <w:rPr>
                <w:rFonts w:hint="eastAsia" w:asciiTheme="minorEastAsia" w:hAnsiTheme="minorEastAsia" w:eastAsiaTheme="minorEastAsia"/>
                <w:szCs w:val="21"/>
                <w:lang w:eastAsia="zh-CN"/>
              </w:rPr>
            </w:pPr>
            <w:r>
              <w:rPr>
                <w:rFonts w:hint="eastAsia" w:cs="经典仿宋简" w:asciiTheme="minorEastAsia" w:hAnsiTheme="minorEastAsia" w:eastAsiaTheme="minorEastAsia"/>
                <w:szCs w:val="21"/>
              </w:rPr>
              <w:t>1</w:t>
            </w:r>
            <w:r>
              <w:rPr>
                <w:rFonts w:hint="eastAsia" w:cs="经典仿宋简" w:asciiTheme="minorEastAsia" w:hAnsiTheme="minorEastAsia" w:eastAsiaTheme="minorEastAsia"/>
                <w:szCs w:val="21"/>
                <w:lang w:val="en-US" w:eastAsia="zh-CN"/>
              </w:rPr>
              <w:t>5</w:t>
            </w:r>
          </w:p>
        </w:tc>
        <w:tc>
          <w:tcPr>
            <w:tcW w:w="71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8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未经许可登记设立拍卖企业的处罚</w:t>
            </w:r>
          </w:p>
        </w:tc>
        <w:tc>
          <w:tcPr>
            <w:tcW w:w="1146" w:type="dxa"/>
            <w:vAlign w:val="center"/>
          </w:tcPr>
          <w:p>
            <w:pPr>
              <w:jc w:val="center"/>
              <w:rPr>
                <w:rFonts w:asciiTheme="minorEastAsia" w:hAnsiTheme="minorEastAsia" w:eastAsiaTheme="minorEastAsia"/>
                <w:szCs w:val="21"/>
              </w:rPr>
            </w:pPr>
            <w:r>
              <w:rPr>
                <w:rFonts w:hint="eastAsia" w:cs="经典仿宋简" w:asciiTheme="minorEastAsia" w:hAnsiTheme="minorEastAsia" w:eastAsiaTheme="minorEastAsia"/>
                <w:szCs w:val="21"/>
              </w:rPr>
              <w:t>无</w:t>
            </w:r>
          </w:p>
        </w:tc>
        <w:tc>
          <w:tcPr>
            <w:tcW w:w="8035" w:type="dxa"/>
          </w:tcPr>
          <w:p>
            <w:pPr>
              <w:rPr>
                <w:rFonts w:asciiTheme="minorEastAsia" w:hAnsiTheme="minorEastAsia" w:eastAsiaTheme="minorEastAsia"/>
                <w:szCs w:val="21"/>
              </w:rPr>
            </w:pPr>
          </w:p>
          <w:p>
            <w:pPr>
              <w:rPr>
                <w:rFonts w:asciiTheme="minorEastAsia" w:hAnsiTheme="minorEastAsia" w:eastAsiaTheme="minorEastAsia"/>
                <w:szCs w:val="21"/>
              </w:rPr>
            </w:pPr>
            <w:r>
              <w:rPr>
                <w:rFonts w:hint="eastAsia" w:asciiTheme="minorEastAsia" w:hAnsiTheme="minorEastAsia" w:eastAsiaTheme="minorEastAsia"/>
                <w:szCs w:val="21"/>
              </w:rPr>
              <w:t>《中华人民共和国拍卖法》第六十条：“违反本法第十一条的规定，未经许可登记设立拍卖企业的，由工商行政管理部门予以取缔，没收违法所得，并可以处违法所得一倍以上五倍以下的罚款。”</w:t>
            </w:r>
          </w:p>
        </w:tc>
        <w:tc>
          <w:tcPr>
            <w:tcW w:w="118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631" w:type="dxa"/>
            <w:vAlign w:val="center"/>
          </w:tcPr>
          <w:p>
            <w:pPr>
              <w:jc w:val="center"/>
              <w:rPr>
                <w:rFonts w:hint="eastAsia" w:cs="经典仿宋简"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6</w:t>
            </w:r>
          </w:p>
        </w:tc>
        <w:tc>
          <w:tcPr>
            <w:tcW w:w="71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87" w:type="dxa"/>
            <w:shd w:val="clear" w:color="auto" w:fill="auto"/>
            <w:vAlign w:val="center"/>
          </w:tcPr>
          <w:p>
            <w:pPr>
              <w:rPr>
                <w:rFonts w:cs="经典仿宋简" w:asciiTheme="minorEastAsia" w:hAnsiTheme="minorEastAsia" w:eastAsiaTheme="minorEastAsia"/>
                <w:szCs w:val="21"/>
              </w:rPr>
            </w:pPr>
            <w:r>
              <w:rPr>
                <w:rFonts w:hint="eastAsia" w:asciiTheme="minorEastAsia" w:hAnsiTheme="minorEastAsia" w:eastAsiaTheme="minorEastAsia"/>
                <w:szCs w:val="21"/>
              </w:rPr>
              <w:t>拍卖企业违法拍卖行为的处罚</w:t>
            </w:r>
          </w:p>
        </w:tc>
        <w:tc>
          <w:tcPr>
            <w:tcW w:w="1146" w:type="dxa"/>
            <w:shd w:val="clear" w:color="auto" w:fill="auto"/>
            <w:vAlign w:val="center"/>
          </w:tcPr>
          <w:p>
            <w:pPr>
              <w:jc w:val="center"/>
              <w:rPr>
                <w:rFonts w:cs="经典仿宋简" w:asciiTheme="minorEastAsia" w:hAnsiTheme="minorEastAsia" w:eastAsiaTheme="minorEastAsia"/>
                <w:szCs w:val="21"/>
              </w:rPr>
            </w:pPr>
            <w:r>
              <w:rPr>
                <w:rFonts w:hint="eastAsia" w:asciiTheme="minorEastAsia" w:hAnsiTheme="minorEastAsia" w:eastAsiaTheme="minorEastAsia"/>
                <w:szCs w:val="21"/>
              </w:rPr>
              <w:t>无</w:t>
            </w:r>
          </w:p>
        </w:tc>
        <w:tc>
          <w:tcPr>
            <w:tcW w:w="8035" w:type="dxa"/>
          </w:tcPr>
          <w:p>
            <w:pPr>
              <w:spacing w:line="300" w:lineRule="exact"/>
              <w:ind w:firstLine="420" w:firstLineChars="200"/>
              <w:rPr>
                <w:rFonts w:hint="eastAsia" w:cs="经典仿宋简" w:asciiTheme="minorEastAsia" w:hAnsiTheme="minorEastAsia" w:eastAsiaTheme="minorEastAsia"/>
                <w:kern w:val="0"/>
                <w:szCs w:val="21"/>
              </w:rPr>
            </w:pPr>
          </w:p>
          <w:p>
            <w:pPr>
              <w:spacing w:line="300" w:lineRule="exact"/>
              <w:ind w:firstLine="420" w:firstLineChars="200"/>
              <w:rPr>
                <w:rFonts w:hint="eastAsia" w:cs="经典仿宋简" w:asciiTheme="minorEastAsia" w:hAnsiTheme="minorEastAsia" w:eastAsiaTheme="minorEastAsia"/>
                <w:kern w:val="0"/>
                <w:szCs w:val="21"/>
              </w:rPr>
            </w:pPr>
            <w:r>
              <w:rPr>
                <w:rFonts w:hint="eastAsia" w:cs="经典仿宋简" w:asciiTheme="minorEastAsia" w:hAnsiTheme="minorEastAsia" w:eastAsiaTheme="minorEastAsia"/>
                <w:kern w:val="0"/>
                <w:szCs w:val="21"/>
              </w:rPr>
              <w:t>《中华人民共和国拍卖法》第五十九条：“国家机关违反本法第九条的规定，将应当委托财产所在地的省、自治区、直辖市的人民政府或者设区的市的人民政府指定的拍卖人拍卖的物品擅自处理的，对负有直接责任的主管人员和其他直接责任人员依法给予行政处分，给国家造成损失的，还应当承担赔偿责任。”</w:t>
            </w:r>
          </w:p>
          <w:p>
            <w:pPr>
              <w:spacing w:line="300" w:lineRule="exact"/>
              <w:ind w:firstLine="420" w:firstLineChars="200"/>
              <w:rPr>
                <w:rFonts w:asciiTheme="minorEastAsia" w:hAnsiTheme="minorEastAsia" w:eastAsiaTheme="minorEastAsia"/>
                <w:szCs w:val="21"/>
              </w:rPr>
            </w:pPr>
          </w:p>
        </w:tc>
        <w:tc>
          <w:tcPr>
            <w:tcW w:w="118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631"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7</w:t>
            </w:r>
          </w:p>
        </w:tc>
        <w:tc>
          <w:tcPr>
            <w:tcW w:w="71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87"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委托人在拍卖活动中参与竞买或者委托他人代为竞买的处罚</w:t>
            </w:r>
          </w:p>
        </w:tc>
        <w:tc>
          <w:tcPr>
            <w:tcW w:w="114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035" w:type="dxa"/>
          </w:tcPr>
          <w:p>
            <w:pPr>
              <w:rPr>
                <w:rFonts w:hint="eastAsia" w:asciiTheme="minorEastAsia" w:hAnsiTheme="minorEastAsia" w:eastAsiaTheme="minorEastAsia"/>
                <w:szCs w:val="21"/>
              </w:rPr>
            </w:pPr>
          </w:p>
          <w:p>
            <w:pPr>
              <w:rPr>
                <w:rFonts w:hint="eastAsia" w:asciiTheme="minorEastAsia" w:hAnsiTheme="minorEastAsia" w:eastAsiaTheme="minorEastAsia"/>
                <w:szCs w:val="21"/>
              </w:rPr>
            </w:pP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《中华人民共和国拍卖法》第六十四条：“违反本法第三十条的规定，委托人参与竞买或者委托他人代为竞买的，工商行政管理部门可以对委托人处拍卖成交价百分之三十以下的罚款。”</w:t>
            </w:r>
          </w:p>
        </w:tc>
        <w:tc>
          <w:tcPr>
            <w:tcW w:w="118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631"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8</w:t>
            </w:r>
          </w:p>
        </w:tc>
        <w:tc>
          <w:tcPr>
            <w:tcW w:w="71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行政处罚</w:t>
            </w:r>
          </w:p>
        </w:tc>
        <w:tc>
          <w:tcPr>
            <w:tcW w:w="3087"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竞买人之间、竞买人与拍卖人之间恶意串通的处罚</w:t>
            </w:r>
          </w:p>
        </w:tc>
        <w:tc>
          <w:tcPr>
            <w:tcW w:w="1146" w:type="dxa"/>
            <w:shd w:val="clear" w:color="auto" w:fill="auto"/>
            <w:vAlign w:val="center"/>
          </w:tcPr>
          <w:p>
            <w:pPr>
              <w:jc w:val="center"/>
              <w:rPr>
                <w:rFonts w:asciiTheme="minorEastAsia" w:hAnsiTheme="minorEastAsia" w:eastAsiaTheme="minorEastAsia"/>
                <w:szCs w:val="21"/>
              </w:rPr>
            </w:pPr>
            <w:r>
              <w:rPr>
                <w:rFonts w:hint="eastAsia" w:cs="经典仿宋简" w:asciiTheme="minorEastAsia" w:hAnsiTheme="minorEastAsia" w:eastAsiaTheme="minorEastAsia"/>
                <w:szCs w:val="21"/>
              </w:rPr>
              <w:t>无</w:t>
            </w:r>
          </w:p>
        </w:tc>
        <w:tc>
          <w:tcPr>
            <w:tcW w:w="8035" w:type="dxa"/>
          </w:tcPr>
          <w:p>
            <w:pPr>
              <w:spacing w:line="300" w:lineRule="exact"/>
              <w:ind w:firstLine="420" w:firstLineChars="200"/>
              <w:rPr>
                <w:rFonts w:cs="经典仿宋简" w:asciiTheme="minorEastAsia" w:hAnsiTheme="minorEastAsia" w:eastAsiaTheme="minorEastAsia"/>
                <w:kern w:val="0"/>
                <w:szCs w:val="21"/>
              </w:rPr>
            </w:pPr>
          </w:p>
          <w:p>
            <w:pPr>
              <w:spacing w:line="300" w:lineRule="exact"/>
              <w:ind w:firstLine="420" w:firstLineChars="200"/>
              <w:rPr>
                <w:rFonts w:asciiTheme="minorEastAsia" w:hAnsiTheme="minorEastAsia" w:eastAsiaTheme="minorEastAsia"/>
                <w:szCs w:val="21"/>
              </w:rPr>
            </w:pPr>
            <w:r>
              <w:rPr>
                <w:rFonts w:hint="eastAsia" w:cs="经典仿宋简" w:asciiTheme="minorEastAsia" w:hAnsiTheme="minorEastAsia" w:eastAsiaTheme="minorEastAsia"/>
                <w:kern w:val="0"/>
                <w:szCs w:val="21"/>
              </w:rPr>
              <w:t>《中华人民共和国拍卖法》第六十五条：“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1184"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局属执法机构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631"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19</w:t>
            </w:r>
          </w:p>
        </w:tc>
        <w:tc>
          <w:tcPr>
            <w:tcW w:w="717"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行政确认</w:t>
            </w:r>
          </w:p>
        </w:tc>
        <w:tc>
          <w:tcPr>
            <w:tcW w:w="3087" w:type="dxa"/>
            <w:shd w:val="clear" w:color="auto" w:fill="auto"/>
            <w:vAlign w:val="center"/>
          </w:tcPr>
          <w:p>
            <w:pPr>
              <w:rPr>
                <w:rFonts w:asciiTheme="minorEastAsia" w:hAnsiTheme="minorEastAsia" w:eastAsiaTheme="minorEastAsia"/>
                <w:szCs w:val="21"/>
              </w:rPr>
            </w:pPr>
            <w:r>
              <w:rPr>
                <w:rFonts w:hint="eastAsia" w:asciiTheme="minorEastAsia" w:hAnsiTheme="minorEastAsia" w:eastAsiaTheme="minorEastAsia"/>
                <w:szCs w:val="21"/>
              </w:rPr>
              <w:t>动产抵押登记</w:t>
            </w:r>
          </w:p>
        </w:tc>
        <w:tc>
          <w:tcPr>
            <w:tcW w:w="114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无</w:t>
            </w:r>
          </w:p>
        </w:tc>
        <w:tc>
          <w:tcPr>
            <w:tcW w:w="8035"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 xml:space="preserve"> </w:t>
            </w:r>
          </w:p>
          <w:p>
            <w:pPr>
              <w:rPr>
                <w:rFonts w:asciiTheme="minorEastAsia" w:hAnsiTheme="minorEastAsia" w:eastAsiaTheme="minorEastAsia"/>
                <w:szCs w:val="21"/>
              </w:rPr>
            </w:pPr>
            <w:r>
              <w:rPr>
                <w:rFonts w:hint="eastAsia" w:asciiTheme="minorEastAsia" w:hAnsiTheme="minorEastAsia" w:eastAsiaTheme="minorEastAsia"/>
                <w:szCs w:val="21"/>
              </w:rPr>
              <w:t xml:space="preserve">   《动产抵押登记办法》第二条：“企业、个体工商户、农业生产经营者以《中华人民共和国物权法》第一百八十条第一款第四项、第一百八十一条规定的动产抵押的，应当向抵押人住所地的县级市场监督管理部门（以下简称登记机关）办理登记。抵押权自抵押合同生效时设立；未经登记，不得对抗善意第三人。”</w:t>
            </w:r>
          </w:p>
          <w:p>
            <w:pPr>
              <w:rPr>
                <w:rFonts w:hint="eastAsia" w:cs="经典仿宋简" w:asciiTheme="minorEastAsia" w:hAnsiTheme="minorEastAsia" w:eastAsiaTheme="minorEastAsia"/>
                <w:kern w:val="0"/>
                <w:szCs w:val="21"/>
              </w:rPr>
            </w:pPr>
          </w:p>
        </w:tc>
        <w:tc>
          <w:tcPr>
            <w:tcW w:w="118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lang w:eastAsia="zh-CN"/>
              </w:rPr>
              <w:t>网监股</w:t>
            </w:r>
          </w:p>
        </w:tc>
      </w:tr>
    </w:tbl>
    <w:p>
      <w:pPr>
        <w:rPr>
          <w:rFonts w:cs="经典仿宋简" w:asciiTheme="minorEastAsia" w:hAnsiTheme="minorEastAsia" w:eastAsiaTheme="minorEastAsia"/>
          <w:szCs w:val="21"/>
        </w:rPr>
      </w:pPr>
    </w:p>
    <w:sectPr>
      <w:pgSz w:w="16838" w:h="11906" w:orient="landscape"/>
      <w:pgMar w:top="146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经典仿宋简">
    <w:altName w:val="仿宋"/>
    <w:panose1 w:val="00000000000000000000"/>
    <w:charset w:val="86"/>
    <w:family w:val="auto"/>
    <w:pitch w:val="default"/>
    <w:sig w:usb0="00000000" w:usb1="00000000" w:usb2="0000001E" w:usb3="00000000" w:csb0="2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E324F"/>
    <w:rsid w:val="0004699F"/>
    <w:rsid w:val="00142F67"/>
    <w:rsid w:val="001D144E"/>
    <w:rsid w:val="001E324F"/>
    <w:rsid w:val="00211458"/>
    <w:rsid w:val="002564A6"/>
    <w:rsid w:val="00263923"/>
    <w:rsid w:val="00280BAD"/>
    <w:rsid w:val="00412048"/>
    <w:rsid w:val="0050030B"/>
    <w:rsid w:val="00586791"/>
    <w:rsid w:val="005B6E5C"/>
    <w:rsid w:val="005C388D"/>
    <w:rsid w:val="0060412F"/>
    <w:rsid w:val="006A14EB"/>
    <w:rsid w:val="006A2A2B"/>
    <w:rsid w:val="006C07A1"/>
    <w:rsid w:val="006D38AC"/>
    <w:rsid w:val="00730805"/>
    <w:rsid w:val="00891944"/>
    <w:rsid w:val="00891B84"/>
    <w:rsid w:val="008E5A55"/>
    <w:rsid w:val="00911E09"/>
    <w:rsid w:val="00A21495"/>
    <w:rsid w:val="00A3407A"/>
    <w:rsid w:val="00AC2516"/>
    <w:rsid w:val="00AD31A9"/>
    <w:rsid w:val="00B52A22"/>
    <w:rsid w:val="00B840FA"/>
    <w:rsid w:val="00BE76CC"/>
    <w:rsid w:val="00D73E68"/>
    <w:rsid w:val="00DA5E58"/>
    <w:rsid w:val="00DE164C"/>
    <w:rsid w:val="00EB7292"/>
    <w:rsid w:val="00FB6379"/>
    <w:rsid w:val="025A5AC4"/>
    <w:rsid w:val="03A37B29"/>
    <w:rsid w:val="056E78DB"/>
    <w:rsid w:val="068043DE"/>
    <w:rsid w:val="070F4E8C"/>
    <w:rsid w:val="07C34BF3"/>
    <w:rsid w:val="07FF0DE6"/>
    <w:rsid w:val="08635EE5"/>
    <w:rsid w:val="0C137A7E"/>
    <w:rsid w:val="0E860887"/>
    <w:rsid w:val="0ED428F6"/>
    <w:rsid w:val="0FBA5F74"/>
    <w:rsid w:val="0FE53715"/>
    <w:rsid w:val="10EA675E"/>
    <w:rsid w:val="11110110"/>
    <w:rsid w:val="11917FDF"/>
    <w:rsid w:val="11AB5166"/>
    <w:rsid w:val="13C871BD"/>
    <w:rsid w:val="13DA2B22"/>
    <w:rsid w:val="13FE3B34"/>
    <w:rsid w:val="15DA7E61"/>
    <w:rsid w:val="19CE1165"/>
    <w:rsid w:val="1B9216C1"/>
    <w:rsid w:val="1EA55465"/>
    <w:rsid w:val="1FB31097"/>
    <w:rsid w:val="20C015C2"/>
    <w:rsid w:val="26313A26"/>
    <w:rsid w:val="2A2D5EDD"/>
    <w:rsid w:val="2B1B7289"/>
    <w:rsid w:val="2C7877A5"/>
    <w:rsid w:val="2D0C10E3"/>
    <w:rsid w:val="2D6767D4"/>
    <w:rsid w:val="2E7D3162"/>
    <w:rsid w:val="36914A73"/>
    <w:rsid w:val="37D33AB1"/>
    <w:rsid w:val="39B408F1"/>
    <w:rsid w:val="39DA506D"/>
    <w:rsid w:val="3D5C3035"/>
    <w:rsid w:val="3E774C59"/>
    <w:rsid w:val="3F0035CA"/>
    <w:rsid w:val="406B0668"/>
    <w:rsid w:val="43CD6466"/>
    <w:rsid w:val="43F973B7"/>
    <w:rsid w:val="44A97418"/>
    <w:rsid w:val="47774FC4"/>
    <w:rsid w:val="48C242D0"/>
    <w:rsid w:val="48EC5EB8"/>
    <w:rsid w:val="49527A39"/>
    <w:rsid w:val="4B7B5513"/>
    <w:rsid w:val="5073174F"/>
    <w:rsid w:val="5BA914F7"/>
    <w:rsid w:val="60410CCA"/>
    <w:rsid w:val="60E1508B"/>
    <w:rsid w:val="61C045F5"/>
    <w:rsid w:val="651A6C2D"/>
    <w:rsid w:val="65825D67"/>
    <w:rsid w:val="67FA64E1"/>
    <w:rsid w:val="683710EB"/>
    <w:rsid w:val="683C0E88"/>
    <w:rsid w:val="6B5B1F6F"/>
    <w:rsid w:val="6CC8413B"/>
    <w:rsid w:val="6D703CC3"/>
    <w:rsid w:val="6EE4101C"/>
    <w:rsid w:val="6F1C76BC"/>
    <w:rsid w:val="6F4F3DED"/>
    <w:rsid w:val="700179BB"/>
    <w:rsid w:val="709111DD"/>
    <w:rsid w:val="71B56FB0"/>
    <w:rsid w:val="73B317E2"/>
    <w:rsid w:val="7445543F"/>
    <w:rsid w:val="74A80355"/>
    <w:rsid w:val="75D46C84"/>
    <w:rsid w:val="786B3729"/>
    <w:rsid w:val="7ADC7B35"/>
    <w:rsid w:val="7C94630A"/>
    <w:rsid w:val="7D5362AF"/>
    <w:rsid w:val="7DCC128D"/>
    <w:rsid w:val="7E6D5FB5"/>
    <w:rsid w:val="7FD1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
    <w:pPr>
      <w:keepNext/>
      <w:keepLines/>
      <w:spacing w:line="259" w:lineRule="auto"/>
      <w:ind w:left="3" w:firstLine="4845"/>
      <w:outlineLvl w:val="0"/>
    </w:pPr>
    <w:rPr>
      <w:rFonts w:ascii="微软雅黑" w:hAnsi="微软雅黑" w:eastAsia="微软雅黑" w:cs="微软雅黑"/>
      <w:color w:val="000000"/>
      <w:kern w:val="2"/>
      <w:sz w:val="48"/>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apple-converted-space"/>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2849</Words>
  <Characters>16244</Characters>
  <Lines>135</Lines>
  <Paragraphs>38</Paragraphs>
  <TotalTime>5</TotalTime>
  <ScaleCrop>false</ScaleCrop>
  <LinksUpToDate>false</LinksUpToDate>
  <CharactersWithSpaces>19055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2017-05-12T10:09:00Z</dcterms:created>
  <dc:creator>Lenovo</dc:creator>
  <cp:lastModifiedBy>自在</cp:lastModifiedBy>
  <cp:lastPrinted>2020-07-31T02:31:07Z</cp:lastPrinted>
  <dcterms:modified xsi:type="dcterms:W3CDTF">2020-07-31T02:43:47Z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