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olor w:val="000000" w:themeColor="text1"/>
          <w:sz w:val="32"/>
          <w:szCs w:val="32"/>
        </w:rPr>
      </w:pPr>
      <w:r>
        <w:rPr>
          <w:rFonts w:hint="eastAsia" w:ascii="黑体" w:hAnsi="黑体" w:eastAsia="黑体"/>
          <w:color w:val="000000" w:themeColor="text1"/>
          <w:sz w:val="32"/>
          <w:szCs w:val="32"/>
        </w:rPr>
        <w:t>附件2</w:t>
      </w:r>
    </w:p>
    <w:p>
      <w:pPr>
        <w:spacing w:afterLines="50" w:line="600" w:lineRule="exact"/>
        <w:jc w:val="center"/>
        <w:rPr>
          <w:rFonts w:eastAsia="方正小标宋简体"/>
          <w:color w:val="000000" w:themeColor="text1"/>
          <w:sz w:val="44"/>
        </w:rPr>
      </w:pPr>
      <w:r>
        <w:rPr>
          <w:rFonts w:hint="eastAsia" w:ascii="方正小标宋简体" w:eastAsia="方正小标宋简体"/>
          <w:color w:val="000000" w:themeColor="text1"/>
          <w:sz w:val="44"/>
        </w:rPr>
        <w:t>舞阳县市场监督管理局行政权力清单</w:t>
      </w:r>
    </w:p>
    <w:tbl>
      <w:tblPr>
        <w:tblStyle w:val="4"/>
        <w:tblW w:w="15460" w:type="dxa"/>
        <w:jc w:val="center"/>
        <w:tblLayout w:type="autofit"/>
        <w:tblCellMar>
          <w:top w:w="0" w:type="dxa"/>
          <w:left w:w="108" w:type="dxa"/>
          <w:bottom w:w="0" w:type="dxa"/>
          <w:right w:w="108" w:type="dxa"/>
        </w:tblCellMar>
      </w:tblPr>
      <w:tblGrid>
        <w:gridCol w:w="537"/>
        <w:gridCol w:w="667"/>
        <w:gridCol w:w="1652"/>
        <w:gridCol w:w="1134"/>
        <w:gridCol w:w="10206"/>
        <w:gridCol w:w="1264"/>
      </w:tblGrid>
      <w:tr>
        <w:tblPrEx>
          <w:tblCellMar>
            <w:top w:w="0" w:type="dxa"/>
            <w:left w:w="108" w:type="dxa"/>
            <w:bottom w:w="0" w:type="dxa"/>
            <w:right w:w="108" w:type="dxa"/>
          </w:tblCellMar>
        </w:tblPrEx>
        <w:trPr>
          <w:trHeight w:val="480" w:hRule="atLeast"/>
          <w:tblHeader/>
          <w:jc w:val="center"/>
        </w:trPr>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宋体"/>
                <w:b/>
                <w:bCs/>
                <w:color w:val="000000" w:themeColor="text1"/>
                <w:kern w:val="0"/>
                <w:sz w:val="18"/>
                <w:szCs w:val="18"/>
              </w:rPr>
            </w:pPr>
            <w:r>
              <w:rPr>
                <w:rFonts w:hint="eastAsia" w:ascii="宋体" w:hAnsi="宋体" w:cs="宋体"/>
                <w:b/>
                <w:bCs/>
                <w:color w:val="000000" w:themeColor="text1"/>
                <w:kern w:val="0"/>
                <w:sz w:val="18"/>
                <w:szCs w:val="18"/>
              </w:rPr>
              <w:t>序号</w:t>
            </w:r>
          </w:p>
        </w:tc>
        <w:tc>
          <w:tcPr>
            <w:tcW w:w="66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b/>
                <w:bCs/>
                <w:color w:val="000000" w:themeColor="text1"/>
                <w:kern w:val="0"/>
                <w:sz w:val="18"/>
                <w:szCs w:val="18"/>
              </w:rPr>
            </w:pPr>
            <w:r>
              <w:rPr>
                <w:rFonts w:hint="eastAsia" w:ascii="宋体" w:hAnsi="宋体" w:cs="宋体"/>
                <w:b/>
                <w:bCs/>
                <w:color w:val="000000" w:themeColor="text1"/>
                <w:kern w:val="0"/>
                <w:sz w:val="18"/>
                <w:szCs w:val="18"/>
              </w:rPr>
              <w:t>类别</w:t>
            </w:r>
          </w:p>
        </w:tc>
        <w:tc>
          <w:tcPr>
            <w:tcW w:w="165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b/>
                <w:bCs/>
                <w:color w:val="000000" w:themeColor="text1"/>
                <w:kern w:val="0"/>
                <w:sz w:val="18"/>
                <w:szCs w:val="18"/>
              </w:rPr>
            </w:pPr>
            <w:r>
              <w:rPr>
                <w:rFonts w:hint="eastAsia" w:ascii="宋体" w:hAnsi="宋体" w:cs="宋体"/>
                <w:b/>
                <w:bCs/>
                <w:color w:val="000000" w:themeColor="text1"/>
                <w:kern w:val="0"/>
                <w:sz w:val="18"/>
                <w:szCs w:val="18"/>
              </w:rPr>
              <w:t>职权名称</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b/>
                <w:bCs/>
                <w:color w:val="000000" w:themeColor="text1"/>
                <w:kern w:val="0"/>
                <w:sz w:val="18"/>
                <w:szCs w:val="18"/>
              </w:rPr>
            </w:pPr>
            <w:r>
              <w:rPr>
                <w:rFonts w:hint="eastAsia" w:ascii="宋体" w:hAnsi="宋体" w:cs="宋体"/>
                <w:b/>
                <w:bCs/>
                <w:color w:val="000000" w:themeColor="text1"/>
                <w:kern w:val="0"/>
                <w:sz w:val="18"/>
                <w:szCs w:val="18"/>
              </w:rPr>
              <w:t>具体事项（子项）</w:t>
            </w:r>
          </w:p>
        </w:tc>
        <w:tc>
          <w:tcPr>
            <w:tcW w:w="1020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b/>
                <w:bCs/>
                <w:color w:val="000000" w:themeColor="text1"/>
                <w:kern w:val="0"/>
                <w:sz w:val="18"/>
                <w:szCs w:val="18"/>
              </w:rPr>
            </w:pPr>
            <w:r>
              <w:rPr>
                <w:rFonts w:hint="eastAsia" w:ascii="宋体" w:hAnsi="宋体" w:cs="宋体"/>
                <w:b/>
                <w:bCs/>
                <w:color w:val="000000" w:themeColor="text1"/>
                <w:kern w:val="0"/>
                <w:sz w:val="18"/>
                <w:szCs w:val="18"/>
              </w:rPr>
              <w:t>实施依据</w:t>
            </w:r>
          </w:p>
        </w:tc>
        <w:tc>
          <w:tcPr>
            <w:tcW w:w="1264"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b/>
                <w:bCs/>
                <w:color w:val="000000" w:themeColor="text1"/>
                <w:kern w:val="0"/>
                <w:sz w:val="18"/>
                <w:szCs w:val="18"/>
              </w:rPr>
            </w:pPr>
            <w:r>
              <w:rPr>
                <w:rFonts w:hint="eastAsia" w:ascii="宋体" w:hAnsi="宋体" w:cs="宋体"/>
                <w:b/>
                <w:bCs/>
                <w:color w:val="000000" w:themeColor="text1"/>
                <w:kern w:val="0"/>
                <w:sz w:val="18"/>
                <w:szCs w:val="18"/>
              </w:rPr>
              <w:t>承办  机构</w:t>
            </w:r>
          </w:p>
        </w:tc>
      </w:tr>
      <w:tr>
        <w:tblPrEx>
          <w:tblCellMar>
            <w:top w:w="0" w:type="dxa"/>
            <w:left w:w="108" w:type="dxa"/>
            <w:bottom w:w="0" w:type="dxa"/>
            <w:right w:w="108" w:type="dxa"/>
          </w:tblCellMar>
        </w:tblPrEx>
        <w:trPr>
          <w:trHeight w:val="3043" w:hRule="atLeast"/>
          <w:jc w:val="center"/>
        </w:trPr>
        <w:tc>
          <w:tcPr>
            <w:tcW w:w="537"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1</w:t>
            </w:r>
          </w:p>
        </w:tc>
        <w:tc>
          <w:tcPr>
            <w:tcW w:w="6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行政   处罚</w:t>
            </w:r>
          </w:p>
        </w:tc>
        <w:tc>
          <w:tcPr>
            <w:tcW w:w="165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侵犯注册商标专用权的处罚</w:t>
            </w:r>
          </w:p>
        </w:tc>
        <w:tc>
          <w:tcPr>
            <w:tcW w:w="1134"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hint="eastAsia" w:ascii="宋体" w:hAnsi="宋体" w:eastAsia="宋体" w:cs="宋体"/>
                <w:color w:val="000000" w:themeColor="text1"/>
                <w:kern w:val="0"/>
                <w:sz w:val="18"/>
                <w:szCs w:val="18"/>
                <w:lang w:val="en-US" w:eastAsia="zh-CN"/>
              </w:rPr>
            </w:pPr>
            <w:r>
              <w:rPr>
                <w:rFonts w:hint="eastAsia" w:ascii="宋体" w:hAnsi="宋体" w:cs="宋体"/>
                <w:color w:val="000000" w:themeColor="text1"/>
                <w:kern w:val="0"/>
                <w:sz w:val="18"/>
                <w:szCs w:val="18"/>
              </w:rPr>
              <w:t>　</w:t>
            </w:r>
            <w:r>
              <w:rPr>
                <w:rFonts w:hint="eastAsia" w:ascii="宋体" w:hAnsi="宋体" w:cs="宋体"/>
                <w:color w:val="000000" w:themeColor="text1"/>
                <w:kern w:val="0"/>
                <w:sz w:val="18"/>
                <w:szCs w:val="18"/>
                <w:lang w:val="en-US" w:eastAsia="zh-CN"/>
              </w:rPr>
              <w:t>无</w:t>
            </w:r>
          </w:p>
        </w:tc>
        <w:tc>
          <w:tcPr>
            <w:tcW w:w="10206"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000000" w:themeColor="text1"/>
                <w:kern w:val="0"/>
                <w:sz w:val="18"/>
                <w:szCs w:val="18"/>
              </w:rPr>
            </w:pPr>
            <w:r>
              <w:rPr>
                <w:rFonts w:hint="eastAsia" w:ascii="宋体" w:hAnsi="宋体" w:cs="宋体"/>
                <w:color w:val="000000" w:themeColor="text1"/>
                <w:kern w:val="0"/>
                <w:sz w:val="18"/>
                <w:szCs w:val="18"/>
              </w:rPr>
              <w:t xml:space="preserve">    1.《商标法》(1982年8月通过，2013年8月修正)第六十条“有本法第五十七条所列侵犯注册商标专用权行为之一，引起纠纷的，由当事人协商解决；不愿协商或者协商不成的，商标注册人或者利害关系人可以向人民法院起诉，也可以请求工商行政管理部门处理。工商行政管理部门处理时，认定侵权行为成立的，责令立即停止侵权行为，没收、销毁侵权商品和主要用于制造侵权商品、伪造注册商标标识的工具，违法经营额五万元以上的，可以处违法经营额五倍以下的罚款，没有违法经营额或者违法经营额不足五万元的，可以处二十五万元以下的罚款。对五年内实施两次以上商标侵权行为或者有其他严重情节的，应当从重处罚。销售不知道是侵犯注册商标专用权的商品，能证明该商品是自己合法取得并说明提供者的，由工商行政管理部门责令停止销售。”；第六十一条“对侵犯注册商标专用权的行为，工商行政管理部门有权依法查处；涉嫌犯罪的，应当及时移送司法机关依法处理。”</w:t>
            </w:r>
            <w:r>
              <w:rPr>
                <w:rFonts w:hint="eastAsia" w:ascii="宋体" w:hAnsi="宋体" w:cs="宋体"/>
                <w:color w:val="000000" w:themeColor="text1"/>
                <w:kern w:val="0"/>
                <w:sz w:val="18"/>
                <w:szCs w:val="18"/>
              </w:rPr>
              <w:br w:type="page"/>
            </w:r>
            <w:r>
              <w:rPr>
                <w:rFonts w:hint="eastAsia" w:ascii="宋体" w:hAnsi="宋体" w:cs="宋体"/>
                <w:color w:val="000000" w:themeColor="text1"/>
                <w:kern w:val="0"/>
                <w:sz w:val="18"/>
                <w:szCs w:val="18"/>
              </w:rPr>
              <w:t xml:space="preserve">    2.《商标法实施条例》（2002年8月国务院令第358号，2014年4月修订）第八十条“销售不知道是侵犯注册商标专用权的商品，能证明该商品是自己合法取得并说明提供者的，由工商行政管理部门责令停止销售，并将案件情况通报侵权商品提供者所在地工商行政管理部门。”；第八十二条“在查处商标侵权案件过程中，工商行政管理部门可以要求权利人对涉案商品是否为权利人生产或者其许可生产的产品进行辨认。”   </w:t>
            </w:r>
          </w:p>
        </w:tc>
        <w:tc>
          <w:tcPr>
            <w:tcW w:w="126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知识产权股、各市场监管所、综合执法队　</w:t>
            </w:r>
          </w:p>
        </w:tc>
      </w:tr>
      <w:tr>
        <w:tblPrEx>
          <w:tblCellMar>
            <w:top w:w="0" w:type="dxa"/>
            <w:left w:w="108" w:type="dxa"/>
            <w:bottom w:w="0" w:type="dxa"/>
            <w:right w:w="108" w:type="dxa"/>
          </w:tblCellMar>
        </w:tblPrEx>
        <w:trPr>
          <w:trHeight w:val="1447" w:hRule="atLeast"/>
          <w:jc w:val="center"/>
        </w:trPr>
        <w:tc>
          <w:tcPr>
            <w:tcW w:w="537"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2</w:t>
            </w:r>
          </w:p>
        </w:tc>
        <w:tc>
          <w:tcPr>
            <w:tcW w:w="6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行政   处罚</w:t>
            </w:r>
          </w:p>
        </w:tc>
        <w:tc>
          <w:tcPr>
            <w:tcW w:w="165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违反强制使用注册商标义务的处罚</w:t>
            </w:r>
          </w:p>
        </w:tc>
        <w:tc>
          <w:tcPr>
            <w:tcW w:w="1134"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　</w:t>
            </w:r>
            <w:r>
              <w:rPr>
                <w:rFonts w:hint="eastAsia" w:ascii="宋体" w:hAnsi="宋体" w:cs="宋体"/>
                <w:color w:val="000000" w:themeColor="text1"/>
                <w:kern w:val="0"/>
                <w:sz w:val="18"/>
                <w:szCs w:val="18"/>
                <w:lang w:val="en-US" w:eastAsia="zh-CN"/>
              </w:rPr>
              <w:t>无</w:t>
            </w:r>
          </w:p>
        </w:tc>
        <w:tc>
          <w:tcPr>
            <w:tcW w:w="10206"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000000" w:themeColor="text1"/>
                <w:kern w:val="0"/>
                <w:sz w:val="18"/>
                <w:szCs w:val="18"/>
              </w:rPr>
            </w:pPr>
            <w:r>
              <w:rPr>
                <w:rFonts w:hint="eastAsia" w:ascii="宋体" w:hAnsi="宋体" w:cs="宋体"/>
                <w:color w:val="000000" w:themeColor="text1"/>
                <w:kern w:val="0"/>
                <w:sz w:val="18"/>
                <w:szCs w:val="18"/>
              </w:rPr>
              <w:t xml:space="preserve">    《商标法》(1982年8月通过，2013年8月修正)第六条 法律、行政法规规定必须使用注册商标的商品，必须申请商标注册，未经核准注册的，不得在市场销售。  第五十一条“违反本法第六条规定的，由地方工商行政管理部门责令限期申请注册，违法经营额五万元以上的，可以处违法经营额百分之二十以下的罚款，没有违法经营额或者违法经营额不足五万元的，可以处一万元以下的罚款。”</w:t>
            </w:r>
          </w:p>
        </w:tc>
        <w:tc>
          <w:tcPr>
            <w:tcW w:w="126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　知识产权股、各市场监管所、综合执法队　</w:t>
            </w:r>
          </w:p>
        </w:tc>
      </w:tr>
      <w:tr>
        <w:tblPrEx>
          <w:tblCellMar>
            <w:top w:w="0" w:type="dxa"/>
            <w:left w:w="108" w:type="dxa"/>
            <w:bottom w:w="0" w:type="dxa"/>
            <w:right w:w="108" w:type="dxa"/>
          </w:tblCellMar>
        </w:tblPrEx>
        <w:trPr>
          <w:trHeight w:val="1838" w:hRule="atLeast"/>
          <w:jc w:val="center"/>
        </w:trPr>
        <w:tc>
          <w:tcPr>
            <w:tcW w:w="537"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3</w:t>
            </w:r>
          </w:p>
        </w:tc>
        <w:tc>
          <w:tcPr>
            <w:tcW w:w="6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行政   处罚</w:t>
            </w:r>
          </w:p>
        </w:tc>
        <w:tc>
          <w:tcPr>
            <w:tcW w:w="165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经许可使用他人注册商标未标明被许可人名称和商品产地的处罚</w:t>
            </w:r>
          </w:p>
        </w:tc>
        <w:tc>
          <w:tcPr>
            <w:tcW w:w="1134"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lang w:val="en-US" w:eastAsia="zh-CN"/>
              </w:rPr>
              <w:t>无</w:t>
            </w:r>
            <w:r>
              <w:rPr>
                <w:rFonts w:hint="eastAsia" w:ascii="宋体" w:hAnsi="宋体" w:cs="宋体"/>
                <w:color w:val="000000" w:themeColor="text1"/>
                <w:kern w:val="0"/>
                <w:sz w:val="18"/>
                <w:szCs w:val="18"/>
              </w:rPr>
              <w:t>　</w:t>
            </w:r>
          </w:p>
        </w:tc>
        <w:tc>
          <w:tcPr>
            <w:tcW w:w="10206"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000000" w:themeColor="text1"/>
                <w:kern w:val="0"/>
                <w:sz w:val="18"/>
                <w:szCs w:val="18"/>
              </w:rPr>
            </w:pPr>
            <w:r>
              <w:rPr>
                <w:rFonts w:hint="eastAsia" w:ascii="宋体" w:hAnsi="宋体" w:cs="宋体"/>
                <w:color w:val="000000" w:themeColor="text1"/>
                <w:kern w:val="0"/>
                <w:sz w:val="18"/>
                <w:szCs w:val="18"/>
              </w:rPr>
              <w:t xml:space="preserve">    1.《商标法》(1982年8月通过，2013年8月修正)第四十三条 “商标注册人可以通过签订商标使用许可合同，许可他人使用其注册商标。许可人应当监督被许可人使用其注册商标的商品质量。被许可人应当保证使用该注册商标的商品质量。经许可使用他人注册商标的，必须在使用该注册商标的商品上标明被许可人的名称和商品产地。许可他人使用其注册商标的，许可人应当将其商标使用许可报商标局备案，由商标局公告。商标使用许可未经备案不得对抗善意第三人。”</w:t>
            </w:r>
            <w:r>
              <w:rPr>
                <w:rFonts w:hint="eastAsia" w:ascii="宋体" w:hAnsi="宋体" w:cs="宋体"/>
                <w:color w:val="000000" w:themeColor="text1"/>
                <w:kern w:val="0"/>
                <w:sz w:val="18"/>
                <w:szCs w:val="18"/>
              </w:rPr>
              <w:br w:type="textWrapping"/>
            </w:r>
            <w:r>
              <w:rPr>
                <w:rFonts w:hint="eastAsia" w:ascii="宋体" w:hAnsi="宋体" w:cs="宋体"/>
                <w:color w:val="000000" w:themeColor="text1"/>
                <w:kern w:val="0"/>
                <w:sz w:val="18"/>
                <w:szCs w:val="18"/>
              </w:rPr>
              <w:t xml:space="preserve">    2.《商标法实施条例》（2002年8月国务院令第358号，2014年4月修订）第七十一条“违反商标法第四十三条第二款规定的，由工商行政管理部门责令限期改正；逾期不改正的，责令停止销售，拒不停止销售的，处10万元以下的罚款。”                        </w:t>
            </w:r>
          </w:p>
        </w:tc>
        <w:tc>
          <w:tcPr>
            <w:tcW w:w="126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知识产权股、各市场监管所、综合执法队　　</w:t>
            </w:r>
          </w:p>
        </w:tc>
      </w:tr>
      <w:tr>
        <w:tblPrEx>
          <w:tblCellMar>
            <w:top w:w="0" w:type="dxa"/>
            <w:left w:w="108" w:type="dxa"/>
            <w:bottom w:w="0" w:type="dxa"/>
            <w:right w:w="108" w:type="dxa"/>
          </w:tblCellMar>
        </w:tblPrEx>
        <w:trPr>
          <w:trHeight w:val="2248" w:hRule="atLeast"/>
          <w:jc w:val="center"/>
        </w:trPr>
        <w:tc>
          <w:tcPr>
            <w:tcW w:w="537"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4</w:t>
            </w:r>
          </w:p>
        </w:tc>
        <w:tc>
          <w:tcPr>
            <w:tcW w:w="6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行政   处罚</w:t>
            </w:r>
          </w:p>
        </w:tc>
        <w:tc>
          <w:tcPr>
            <w:tcW w:w="165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 xml:space="preserve">复制、摹仿或者翻译他人为相关公众所熟知商标的处罚  </w:t>
            </w:r>
          </w:p>
        </w:tc>
        <w:tc>
          <w:tcPr>
            <w:tcW w:w="1134"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lang w:val="en-US" w:eastAsia="zh-CN"/>
              </w:rPr>
              <w:t>无</w:t>
            </w:r>
            <w:r>
              <w:rPr>
                <w:rFonts w:hint="eastAsia" w:ascii="宋体" w:hAnsi="宋体" w:cs="宋体"/>
                <w:color w:val="000000" w:themeColor="text1"/>
                <w:kern w:val="0"/>
                <w:sz w:val="18"/>
                <w:szCs w:val="18"/>
              </w:rPr>
              <w:t>　</w:t>
            </w:r>
          </w:p>
        </w:tc>
        <w:tc>
          <w:tcPr>
            <w:tcW w:w="10206"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000000" w:themeColor="text1"/>
                <w:kern w:val="0"/>
                <w:sz w:val="18"/>
                <w:szCs w:val="18"/>
              </w:rPr>
            </w:pPr>
            <w:r>
              <w:rPr>
                <w:rFonts w:hint="eastAsia" w:ascii="宋体" w:hAnsi="宋体" w:cs="宋体"/>
                <w:color w:val="000000" w:themeColor="text1"/>
                <w:kern w:val="0"/>
                <w:sz w:val="18"/>
                <w:szCs w:val="18"/>
              </w:rPr>
              <w:t xml:space="preserve">    1.《商标法》(1982年8月通过，2013年8月修正)第十三条“为相关公众所熟知的商标，持有人认为其权利受到侵害时，可以依照本法规定请求驰名商标保护。就相同或者类似商品申请注册的商标是复制、摹仿或者翻译他人未在中国注册的驰名商标，容易导致混淆的，不予注册并禁止使用。就不相同或者不相类似商品申请注册的商标是复制、摹仿或者翻译他人已经在中国注册的驰名商标，误导公众，致使该驰名商标注册人的利益可能受到损害的，不予注册并禁止使用。”</w:t>
            </w:r>
            <w:r>
              <w:rPr>
                <w:rFonts w:hint="eastAsia" w:ascii="宋体" w:hAnsi="宋体" w:cs="宋体"/>
                <w:color w:val="000000" w:themeColor="text1"/>
                <w:kern w:val="0"/>
                <w:sz w:val="18"/>
                <w:szCs w:val="18"/>
              </w:rPr>
              <w:br w:type="textWrapping"/>
            </w:r>
            <w:r>
              <w:rPr>
                <w:rFonts w:hint="eastAsia" w:ascii="宋体" w:hAnsi="宋体" w:cs="宋体"/>
                <w:color w:val="000000" w:themeColor="text1"/>
                <w:kern w:val="0"/>
                <w:sz w:val="18"/>
                <w:szCs w:val="18"/>
              </w:rPr>
              <w:t xml:space="preserve">    2.《商标法实施条例》（2002年8月国务院令第358号，2014年4月修订）第七十二条“商标持有人依照商标法第十三条规定请求驰名商标保护的，可以向工商行政管理部门提出请求。经商标局依照商标法第十四条规定认定为驰名商标的，由工商行政管理部门责令停止违反商标法第十三条规定使用商标的行为，收缴、销毁违法使用的商标标识；商标标识与商品难以分离的，一并收缴、销毁。”</w:t>
            </w:r>
          </w:p>
        </w:tc>
        <w:tc>
          <w:tcPr>
            <w:tcW w:w="126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知识产权股、各市场监管所、综合执法队　　</w:t>
            </w:r>
          </w:p>
        </w:tc>
      </w:tr>
      <w:tr>
        <w:tblPrEx>
          <w:tblCellMar>
            <w:top w:w="0" w:type="dxa"/>
            <w:left w:w="108" w:type="dxa"/>
            <w:bottom w:w="0" w:type="dxa"/>
            <w:right w:w="108" w:type="dxa"/>
          </w:tblCellMar>
        </w:tblPrEx>
        <w:trPr>
          <w:trHeight w:val="2902" w:hRule="atLeast"/>
          <w:jc w:val="center"/>
        </w:trPr>
        <w:tc>
          <w:tcPr>
            <w:tcW w:w="537"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5</w:t>
            </w:r>
          </w:p>
        </w:tc>
        <w:tc>
          <w:tcPr>
            <w:tcW w:w="6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行政   处罚</w:t>
            </w:r>
          </w:p>
        </w:tc>
        <w:tc>
          <w:tcPr>
            <w:tcW w:w="165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将未注册商标冒充注册商标使用，或者违规使用未注册商标的处罚</w:t>
            </w:r>
          </w:p>
        </w:tc>
        <w:tc>
          <w:tcPr>
            <w:tcW w:w="1134"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lang w:val="en-US" w:eastAsia="zh-CN"/>
              </w:rPr>
              <w:t>无</w:t>
            </w:r>
            <w:r>
              <w:rPr>
                <w:rFonts w:hint="eastAsia" w:ascii="宋体" w:hAnsi="宋体" w:cs="宋体"/>
                <w:color w:val="000000" w:themeColor="text1"/>
                <w:kern w:val="0"/>
                <w:sz w:val="18"/>
                <w:szCs w:val="18"/>
              </w:rPr>
              <w:t>　</w:t>
            </w:r>
          </w:p>
        </w:tc>
        <w:tc>
          <w:tcPr>
            <w:tcW w:w="10206"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000000" w:themeColor="text1"/>
                <w:kern w:val="0"/>
                <w:sz w:val="18"/>
                <w:szCs w:val="18"/>
              </w:rPr>
            </w:pPr>
            <w:r>
              <w:rPr>
                <w:rFonts w:hint="eastAsia" w:ascii="宋体" w:hAnsi="宋体" w:cs="宋体"/>
                <w:color w:val="000000" w:themeColor="text1"/>
                <w:kern w:val="0"/>
                <w:sz w:val="18"/>
                <w:szCs w:val="18"/>
              </w:rPr>
              <w:t xml:space="preserve">    《商标法》(1982年8月通过，2013年8月修正)第十条“下列标志不得作为商标使用：(一)同中华人民共和国的国家名称、国旗、国徽、国歌、军旗、军徽、军歌、勋章等相同或者近似的，以及同中央国家机关的名称、标志、所在地特定地点的名称或者标志性建筑物的名称、图形相同的；(二)同外国的国家名称、国旗、国徽、军旗等相同或者近似的，但经该国政府同意的除外；(三)同政府间国际组织的名称、旗帜、徽记等相同或者近似的，但经该组织同意或者不易误导公众的除外；(四)与表明实施控制、予以保证的官方标志、检验印记相同或者近似的，但经授权的除外；(五)同“红十字”、“红新月”的名称、标志相同或者近似的；(六)带有民族歧视性的；(七)带有欺骗性，容易使公众对商品的质量等特点或者产地产生误认的；(八)有害于社会主义道德风尚或者有其他不良影响的。县级以上行政区划的地名或者公众知晓的外国地名，不得作为商标。但是，地名具有其他含义或者作为集体商标、证明商标组成部分的除外；已经注册的使用地名的商标继续有效。”；第五十二条“将未注册商标冒充注册商标使用的，或者使用未注册商标违反本法第十条规定的，由地方工商行政管理部门予以制止，限期改正，并可以予以通报，违法经营额五万元以上的，可以处违法经营额百分之二十以下的罚款，没有违法经营额或者违法经营额不足五万元的，可以处一万元以下的罚款。”</w:t>
            </w:r>
          </w:p>
        </w:tc>
        <w:tc>
          <w:tcPr>
            <w:tcW w:w="126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知识产权股、各市场监管所、综合执法队　　</w:t>
            </w:r>
          </w:p>
        </w:tc>
      </w:tr>
      <w:tr>
        <w:tblPrEx>
          <w:tblCellMar>
            <w:top w:w="0" w:type="dxa"/>
            <w:left w:w="108" w:type="dxa"/>
            <w:bottom w:w="0" w:type="dxa"/>
            <w:right w:w="108" w:type="dxa"/>
          </w:tblCellMar>
        </w:tblPrEx>
        <w:trPr>
          <w:trHeight w:val="2974" w:hRule="atLeast"/>
          <w:jc w:val="center"/>
        </w:trPr>
        <w:tc>
          <w:tcPr>
            <w:tcW w:w="537"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6</w:t>
            </w:r>
          </w:p>
        </w:tc>
        <w:tc>
          <w:tcPr>
            <w:tcW w:w="667"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行政   处罚</w:t>
            </w:r>
          </w:p>
        </w:tc>
        <w:tc>
          <w:tcPr>
            <w:tcW w:w="1652"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6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商标印制单位违反承印验证、印制登记、存档、商标标识出入库规定的处罚</w:t>
            </w:r>
          </w:p>
        </w:tc>
        <w:tc>
          <w:tcPr>
            <w:tcW w:w="1134"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lang w:val="en-US" w:eastAsia="zh-CN"/>
              </w:rPr>
              <w:t>无</w:t>
            </w:r>
            <w:r>
              <w:rPr>
                <w:rFonts w:hint="eastAsia" w:ascii="宋体" w:hAnsi="宋体" w:cs="宋体"/>
                <w:color w:val="000000" w:themeColor="text1"/>
                <w:kern w:val="0"/>
                <w:sz w:val="18"/>
                <w:szCs w:val="18"/>
              </w:rPr>
              <w:t>　</w:t>
            </w:r>
          </w:p>
        </w:tc>
        <w:tc>
          <w:tcPr>
            <w:tcW w:w="10206" w:type="dxa"/>
            <w:tcBorders>
              <w:top w:val="nil"/>
              <w:left w:val="nil"/>
              <w:bottom w:val="nil"/>
              <w:right w:val="nil"/>
            </w:tcBorders>
            <w:shd w:val="clear" w:color="auto" w:fill="auto"/>
            <w:vAlign w:val="center"/>
          </w:tcPr>
          <w:p>
            <w:pPr>
              <w:widowControl/>
              <w:spacing w:line="26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1.《商标印制管理办法》（1996年9月国家工商行政管理局令第57号，2004年8月修订）第七条“商标印制单位应当对商标印制委托人提供的证明文件和商标图样进行核查。商标印制委托人未提供本办法第三条、第四条所规定的证明文件，或者其要求印制的商标标识不符合本办法第五条、第六条规定的，商标印制单位不得承接印制。”第八条“商标印制单位承印符合本办法规定的商标印制业务的，商标印制业务管理人员应当按照要求填写《商标印制业务登记表》，载明商标印制委托人所提供的证明文件的主要内容，《商标印制业务登记表》中的图样应当由商标印制单位业务主管人员加盖骑缝章。商标标识印制完毕，商标印制单位应当在15天内提取标识样品，连同《商标印制业务登记表》、《商标注册证》复印件、商标使用许可合同复印件、商标印制授权书复印件等一并造册存档。”第九条“商标印制单位应当建立商标标识出入库制度，商标标识出入库应当登记台帐。废次标识应当集中进行销毁，不得流入社会。”第十条“商标印制档案及商标标识出入库台帐应当存档备查，存查期为两年。”第十一条“商标印制单位违反本办法第七条至第十条规定的，由所在地工商行政管理局责令其限期改正，并视其情节予以警告，处以非法所得额三倍以下的罚款，但最高不超过三万元，没有违法所得的，可以处以一万元以下的罚款。”</w:t>
            </w:r>
          </w:p>
        </w:tc>
        <w:tc>
          <w:tcPr>
            <w:tcW w:w="1264"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知识产权股、各市场监管所、综合执法队　　</w:t>
            </w:r>
          </w:p>
        </w:tc>
      </w:tr>
      <w:tr>
        <w:tblPrEx>
          <w:tblCellMar>
            <w:top w:w="0" w:type="dxa"/>
            <w:left w:w="108" w:type="dxa"/>
            <w:bottom w:w="0" w:type="dxa"/>
            <w:right w:w="108" w:type="dxa"/>
          </w:tblCellMar>
        </w:tblPrEx>
        <w:trPr>
          <w:trHeight w:val="3192" w:hRule="atLeast"/>
          <w:jc w:val="center"/>
        </w:trPr>
        <w:tc>
          <w:tcPr>
            <w:tcW w:w="537"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宋体" w:hAnsi="宋体" w:cs="宋体"/>
                <w:color w:val="000000" w:themeColor="text1"/>
                <w:kern w:val="0"/>
                <w:sz w:val="18"/>
                <w:szCs w:val="18"/>
              </w:rPr>
            </w:pPr>
          </w:p>
        </w:tc>
        <w:tc>
          <w:tcPr>
            <w:tcW w:w="667"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宋体" w:hAnsi="宋体" w:cs="宋体"/>
                <w:color w:val="000000" w:themeColor="text1"/>
                <w:kern w:val="0"/>
                <w:sz w:val="18"/>
                <w:szCs w:val="18"/>
              </w:rPr>
            </w:pPr>
          </w:p>
        </w:tc>
        <w:tc>
          <w:tcPr>
            <w:tcW w:w="1652"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cs="宋体"/>
                <w:color w:val="000000" w:themeColor="text1"/>
                <w:kern w:val="0"/>
                <w:sz w:val="18"/>
                <w:szCs w:val="18"/>
              </w:rPr>
            </w:pPr>
          </w:p>
        </w:tc>
        <w:tc>
          <w:tcPr>
            <w:tcW w:w="1134" w:type="dxa"/>
            <w:vMerge w:val="continue"/>
            <w:tcBorders>
              <w:top w:val="nil"/>
              <w:left w:val="single" w:color="auto" w:sz="4" w:space="0"/>
              <w:bottom w:val="single" w:color="auto" w:sz="4" w:space="0"/>
              <w:right w:val="single" w:color="auto" w:sz="4" w:space="0"/>
            </w:tcBorders>
            <w:vAlign w:val="center"/>
          </w:tcPr>
          <w:p>
            <w:pPr>
              <w:widowControl/>
              <w:spacing w:line="260" w:lineRule="exact"/>
              <w:jc w:val="left"/>
              <w:rPr>
                <w:rFonts w:ascii="宋体" w:hAnsi="宋体" w:cs="宋体"/>
                <w:color w:val="000000" w:themeColor="text1"/>
                <w:kern w:val="0"/>
                <w:sz w:val="18"/>
                <w:szCs w:val="18"/>
              </w:rPr>
            </w:pPr>
          </w:p>
        </w:tc>
        <w:tc>
          <w:tcPr>
            <w:tcW w:w="10206" w:type="dxa"/>
            <w:tcBorders>
              <w:top w:val="nil"/>
              <w:left w:val="nil"/>
              <w:bottom w:val="single" w:color="auto" w:sz="4" w:space="0"/>
              <w:right w:val="nil"/>
            </w:tcBorders>
            <w:shd w:val="clear" w:color="auto" w:fill="auto"/>
          </w:tcPr>
          <w:p>
            <w:pPr>
              <w:widowControl/>
              <w:spacing w:line="260" w:lineRule="exact"/>
              <w:jc w:val="left"/>
              <w:rPr>
                <w:rFonts w:ascii="宋体" w:hAnsi="宋体" w:cs="宋体"/>
                <w:color w:val="000000" w:themeColor="text1"/>
                <w:kern w:val="0"/>
                <w:sz w:val="18"/>
                <w:szCs w:val="18"/>
              </w:rPr>
            </w:pPr>
            <w:r>
              <w:rPr>
                <w:rFonts w:hint="eastAsia" w:ascii="宋体" w:hAnsi="宋体" w:cs="宋体"/>
                <w:color w:val="000000" w:themeColor="text1"/>
                <w:kern w:val="0"/>
                <w:sz w:val="18"/>
                <w:szCs w:val="18"/>
              </w:rPr>
              <w:t xml:space="preserve">    2.《印刷业管理条例》（2001年8月国务院令第315号）第二十四条“印刷企业接受委托印刷注册商标标识的,应当验证商标注册人所在地县级工商行政管理部门签章的《商标注册证》复印件,并核查委托人提供的注册商标图样；接受注册商标被许可使用人委托,印刷注册商标标识的,印刷企业还应当验证注册商标使用许可合同。印刷企业应当保存其验证、核查的工商行政管理部门签章的《商标注册证》复印件、注册商标图样、注册商标使用许可合同复印件2年,以备查验。”第三十九条“从事包装装潢印刷品印刷经营活动的企业有下列行为之一的，由县级以上地方人民政府出版行政部门给予警告，没收违法所得，违法经营额1万元以上的，并处违法经营额5倍以上10倍以下的罚款；违法经营额不足1万元的,并处1万元以上5万元以下的罚款；情节严重的,责令停业整顿或者由原发证机关吊销许可证；构成犯罪的,依法追究刑事责任：（一）接受委托印刷注册商标标识,未依照本条例的规定验证、核查工商行政管理部门签章的《商标注册证》复印件、注册商标图样或者注册商标使用许可合同复印件的…印刷企业接受委托印刷注册商标标识、广告宣传品,违反国家有关注册商标、广告印刷管理规定的,由工商行政管理部门给予警告,没收印刷品和违法所得,违法经营额1万元以上的,并处违法经营额5倍以上10倍以下的罚款；违法经营额不足1万元的,并处1万元以上5万元以下的罚款。国家对注册商标标识的印刷另有规定的,印刷企业还应当遵守其规定。</w:t>
            </w:r>
          </w:p>
        </w:tc>
        <w:tc>
          <w:tcPr>
            <w:tcW w:w="1264"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宋体" w:hAnsi="宋体" w:cs="宋体"/>
                <w:color w:val="000000" w:themeColor="text1"/>
                <w:kern w:val="0"/>
                <w:sz w:val="18"/>
                <w:szCs w:val="18"/>
              </w:rPr>
            </w:pPr>
          </w:p>
        </w:tc>
      </w:tr>
      <w:tr>
        <w:tblPrEx>
          <w:tblCellMar>
            <w:top w:w="0" w:type="dxa"/>
            <w:left w:w="108" w:type="dxa"/>
            <w:bottom w:w="0" w:type="dxa"/>
            <w:right w:w="108" w:type="dxa"/>
          </w:tblCellMar>
        </w:tblPrEx>
        <w:trPr>
          <w:trHeight w:val="3043" w:hRule="atLeast"/>
          <w:jc w:val="center"/>
        </w:trPr>
        <w:tc>
          <w:tcPr>
            <w:tcW w:w="537"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7</w:t>
            </w:r>
          </w:p>
        </w:tc>
        <w:tc>
          <w:tcPr>
            <w:tcW w:w="6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行政   处罚</w:t>
            </w:r>
          </w:p>
        </w:tc>
        <w:tc>
          <w:tcPr>
            <w:tcW w:w="165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侵犯世界博览会标志专有权的处罚</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lang w:val="en-US" w:eastAsia="zh-CN"/>
              </w:rPr>
              <w:t>无</w:t>
            </w:r>
            <w:r>
              <w:rPr>
                <w:rFonts w:hint="eastAsia" w:ascii="宋体" w:hAnsi="宋体" w:cs="宋体"/>
                <w:color w:val="000000" w:themeColor="text1"/>
                <w:kern w:val="0"/>
                <w:sz w:val="18"/>
                <w:szCs w:val="18"/>
              </w:rPr>
              <w:t>　</w:t>
            </w:r>
          </w:p>
        </w:tc>
        <w:tc>
          <w:tcPr>
            <w:tcW w:w="1020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themeColor="text1"/>
                <w:kern w:val="0"/>
                <w:sz w:val="18"/>
                <w:szCs w:val="18"/>
              </w:rPr>
            </w:pPr>
            <w:r>
              <w:rPr>
                <w:rFonts w:hint="eastAsia" w:ascii="宋体" w:hAnsi="宋体" w:cs="宋体"/>
                <w:color w:val="000000" w:themeColor="text1"/>
                <w:kern w:val="0"/>
                <w:sz w:val="18"/>
                <w:szCs w:val="18"/>
              </w:rPr>
              <w:t xml:space="preserve">    《世界博览会标志保护条例》（2004年10月国务院令第422号）第四条“世界博览会标志权利人依照本条例享有世界博览会标志专有权。未经世界博览会标志权利人许可，任何人不得为商业目的(含潜在商业目的，下同)使用世界博览会标志。”；第五条“本条例所称为商业目的使用，是指以营利为目的，以下列方式使用世界博览会标志：（一）将世界博览会标志用于商品、商品包装或者容器以及商品交易文书上；（二）将世界博览会标志用于服务业中；（三）将世界博览会标志用于广告宣传、商业展览、营业性演出以及其他商业活动中；（四）销售、进口、出口含有世界博览会标志的商品；（五）制造或者销售世界博览会标志；（六）将世界博览会标志作为字号申请企业名称登记，可能造成市场误认、混淆的；（七）可能使他人认为行为人与世界博览会标志权利人之间存在许可使用关系而使用世界博览会标志的其他行为。”；第十一条“工商行政管理部门处理侵犯世界博览会标志专有权行为时，认定侵权行为成立的，责令立即停止侵权行为，没收、销毁侵权商品和专门用于制造侵权商品或者为商业目的擅自制造世界博览会标志的工具，有违法所得的，没收违法所得，可以并处违法所得5倍以下的罚款；没有违法所得的，可以并处5万元以下的罚款。利用世界博览会标志进行诈骗等活动，构成犯罪的，依法追究刑事责任。”；第十五条“世界博览会标志除依照本条例受到保护外，还可以依照《中华人民共和国著作权法》、《中华人民共和国商标法》、《中华人民共和国专利法》、《中华人民共和国反不正当竞争法》、《特殊标志管理条例》等法律、行政法规的规定获得保护。”</w:t>
            </w:r>
          </w:p>
        </w:tc>
        <w:tc>
          <w:tcPr>
            <w:tcW w:w="126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知识产权股、各市场监管所、综合执法队　　</w:t>
            </w:r>
          </w:p>
        </w:tc>
      </w:tr>
      <w:tr>
        <w:tblPrEx>
          <w:tblCellMar>
            <w:top w:w="0" w:type="dxa"/>
            <w:left w:w="108" w:type="dxa"/>
            <w:bottom w:w="0" w:type="dxa"/>
            <w:right w:w="108" w:type="dxa"/>
          </w:tblCellMar>
        </w:tblPrEx>
        <w:trPr>
          <w:trHeight w:val="3456" w:hRule="atLeast"/>
          <w:jc w:val="center"/>
        </w:trPr>
        <w:tc>
          <w:tcPr>
            <w:tcW w:w="537"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8</w:t>
            </w:r>
          </w:p>
        </w:tc>
        <w:tc>
          <w:tcPr>
            <w:tcW w:w="6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行政   处罚</w:t>
            </w:r>
          </w:p>
        </w:tc>
        <w:tc>
          <w:tcPr>
            <w:tcW w:w="165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侵犯奥林匹克标志专有权的处罚</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lang w:val="en-US" w:eastAsia="zh-CN"/>
              </w:rPr>
              <w:t>无</w:t>
            </w:r>
            <w:r>
              <w:rPr>
                <w:rFonts w:hint="eastAsia" w:ascii="宋体" w:hAnsi="宋体" w:cs="宋体"/>
                <w:color w:val="000000" w:themeColor="text1"/>
                <w:kern w:val="0"/>
                <w:sz w:val="18"/>
                <w:szCs w:val="18"/>
              </w:rPr>
              <w:t>　</w:t>
            </w:r>
          </w:p>
        </w:tc>
        <w:tc>
          <w:tcPr>
            <w:tcW w:w="1020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themeColor="text1"/>
                <w:kern w:val="0"/>
                <w:sz w:val="18"/>
                <w:szCs w:val="18"/>
              </w:rPr>
            </w:pPr>
            <w:r>
              <w:rPr>
                <w:rFonts w:hint="eastAsia" w:ascii="宋体" w:hAnsi="宋体" w:cs="宋体"/>
                <w:color w:val="000000" w:themeColor="text1"/>
                <w:kern w:val="0"/>
                <w:sz w:val="18"/>
                <w:szCs w:val="18"/>
              </w:rPr>
              <w:t xml:space="preserve">    《奥林匹克标志保护条例》（2002年2月国务院令第315号）第四条“奥林匹克标志权利人依照本条例对奥林匹克标志享有专有权。未经奥林匹克标志权利人许可，任何人不得为商业目的(含潜在商业目的，下同)使用奥林匹克标志。”；第五条“本条例所称为商业目的使用，是指以营利为目的，以下列方式利用奥林匹克标志：(一)将奥林匹克标志用于商品、商品包装或者容器以及商品交易文书上；(二)将奥林匹克标志用于服务项目中；(三)将奥林匹克标志用于广告宣传、商业展览、营业性演出以及其他商业活动中；(四)销售、进口、出口含有奥林匹克标志的商品；(五)制造或者销售奥林匹克标志；(六)可能使人认为行为人与奥林匹克标志权利人之间有赞助或者其他支持关系而使用奥林匹克标志的其他行为。”；第六条“国务院工商行政管理部门依据本条例的规定，负责全国的奥林匹克标志保护工作。”；第十条“未经奥林匹克标志权利人许可，为商业目的擅自使用奥林匹克标志，即侵犯奥林匹克标志专有权，引起纠纷的，由当事人协商解决；不愿协商或者协商不成的，奥林匹克标志权利人或者利害关系人可以向人民法院提起诉讼，也可以请求工商行政管理部门处理。工商行政管理部门处理时，认定侵权行为成立的，责令立即停止侵权行为，没收、销毁侵权商品和专门用于制造侵权商品或者为商业目的擅自制造奥林匹克标志的工具，有违法所得的，没收违法所得，可以并处违法所得5倍以下的罚款；没有违法所得的，可以并处5万元以下的罚款。当事人对处理决定不服的，可以自收到处理通知之日起15日内依照《中华人民共和国行政诉讼法》向人民法院提起诉讼；侵权人期满不起诉又不履行的，工商行政管理部门可以申请人民法院强制执行。进行处理的工商行政管理部门应当事人的请求，可以就侵犯奥林匹克标志专有权的赔偿数额进行调解；调解不成的，当事人可以依照《中华人民共和国民事诉讼法》向人民法院提起诉讼。利用奥林匹克标志进行诈骗等活动，触犯刑律的，依照刑法关于诈骗罪或者其他罪的规定，依法追究刑事责任。”</w:t>
            </w:r>
          </w:p>
        </w:tc>
        <w:tc>
          <w:tcPr>
            <w:tcW w:w="1264"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知识产权股、各市场监管所、综合执法队　　</w:t>
            </w:r>
          </w:p>
        </w:tc>
      </w:tr>
      <w:tr>
        <w:tblPrEx>
          <w:tblCellMar>
            <w:top w:w="0" w:type="dxa"/>
            <w:left w:w="108" w:type="dxa"/>
            <w:bottom w:w="0" w:type="dxa"/>
            <w:right w:w="108" w:type="dxa"/>
          </w:tblCellMar>
        </w:tblPrEx>
        <w:trPr>
          <w:trHeight w:val="720" w:hRule="atLeast"/>
          <w:jc w:val="center"/>
        </w:trPr>
        <w:tc>
          <w:tcPr>
            <w:tcW w:w="537"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9</w:t>
            </w:r>
          </w:p>
        </w:tc>
        <w:tc>
          <w:tcPr>
            <w:tcW w:w="6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行政   处罚</w:t>
            </w:r>
          </w:p>
        </w:tc>
        <w:tc>
          <w:tcPr>
            <w:tcW w:w="165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未按规定备案经许可使用奥林匹克标志行为的处罚</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lang w:val="en-US" w:eastAsia="zh-CN"/>
              </w:rPr>
              <w:t>无</w:t>
            </w:r>
            <w:r>
              <w:rPr>
                <w:rFonts w:hint="eastAsia" w:ascii="宋体" w:hAnsi="宋体" w:cs="宋体"/>
                <w:color w:val="000000" w:themeColor="text1"/>
                <w:kern w:val="0"/>
                <w:sz w:val="18"/>
                <w:szCs w:val="18"/>
              </w:rPr>
              <w:t>　</w:t>
            </w:r>
          </w:p>
        </w:tc>
        <w:tc>
          <w:tcPr>
            <w:tcW w:w="1020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themeColor="text1"/>
                <w:kern w:val="0"/>
                <w:sz w:val="18"/>
                <w:szCs w:val="18"/>
              </w:rPr>
            </w:pPr>
            <w:r>
              <w:rPr>
                <w:rFonts w:hint="eastAsia" w:ascii="宋体" w:hAnsi="宋体" w:cs="宋体"/>
                <w:color w:val="000000" w:themeColor="text1"/>
                <w:kern w:val="0"/>
                <w:sz w:val="18"/>
                <w:szCs w:val="18"/>
              </w:rPr>
              <w:t xml:space="preserve">    《奥林匹克标志备案及管理办法》（2002年4月22日国家工商行政管理总局令第2号）第九条“经许可使用奥林匹克标志的，应当在使用时标明使用许可备案号。对违反前款规定的，由县级以上工商行政管理机关责令限期改正；对逾期不改的，处以一万元以下的罚款。</w:t>
            </w:r>
          </w:p>
        </w:tc>
        <w:tc>
          <w:tcPr>
            <w:tcW w:w="1264"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宋体" w:hAnsi="宋体" w:cs="宋体"/>
                <w:color w:val="000000" w:themeColor="text1"/>
                <w:kern w:val="0"/>
                <w:sz w:val="18"/>
                <w:szCs w:val="18"/>
              </w:rPr>
            </w:pPr>
          </w:p>
        </w:tc>
      </w:tr>
      <w:tr>
        <w:tblPrEx>
          <w:tblCellMar>
            <w:top w:w="0" w:type="dxa"/>
            <w:left w:w="108" w:type="dxa"/>
            <w:bottom w:w="0" w:type="dxa"/>
            <w:right w:w="108" w:type="dxa"/>
          </w:tblCellMar>
        </w:tblPrEx>
        <w:trPr>
          <w:trHeight w:val="1440" w:hRule="atLeast"/>
          <w:jc w:val="center"/>
        </w:trPr>
        <w:tc>
          <w:tcPr>
            <w:tcW w:w="537"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10</w:t>
            </w:r>
          </w:p>
        </w:tc>
        <w:tc>
          <w:tcPr>
            <w:tcW w:w="6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行政   处罚</w:t>
            </w:r>
          </w:p>
        </w:tc>
        <w:tc>
          <w:tcPr>
            <w:tcW w:w="165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擅自改变特殊标志文字、图形，违反特殊标志许可使用管理义务，超范围使用特殊标志的处罚</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　</w:t>
            </w:r>
            <w:r>
              <w:rPr>
                <w:rFonts w:hint="eastAsia" w:ascii="宋体" w:hAnsi="宋体" w:cs="宋体"/>
                <w:color w:val="000000" w:themeColor="text1"/>
                <w:kern w:val="0"/>
                <w:sz w:val="18"/>
                <w:szCs w:val="18"/>
                <w:lang w:val="en-US" w:eastAsia="zh-CN"/>
              </w:rPr>
              <w:t>无</w:t>
            </w:r>
          </w:p>
        </w:tc>
        <w:tc>
          <w:tcPr>
            <w:tcW w:w="1020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themeColor="text1"/>
                <w:kern w:val="0"/>
                <w:sz w:val="18"/>
                <w:szCs w:val="18"/>
              </w:rPr>
            </w:pPr>
            <w:r>
              <w:rPr>
                <w:rFonts w:hint="eastAsia" w:ascii="宋体" w:hAnsi="宋体" w:cs="宋体"/>
                <w:color w:val="000000" w:themeColor="text1"/>
                <w:kern w:val="0"/>
                <w:sz w:val="18"/>
                <w:szCs w:val="18"/>
              </w:rPr>
              <w:t xml:space="preserve">    《特殊标志管理条例》（1996年7月国务院令第202号）第十五条“特殊标志所有人或者使用人有下列行为之一的，由其所在地或者行为发生地县级以上人民政府工商行政管理部门责令改正，可以处5万元以下的罚款；情节严重的，由县级以上人民政府工商行政管理部门责令使用人停止使用该特殊标志，由国务院工商行政管理部门撤销所有人的特殊标志登记：(一)擅自改变特殊标志文字、图形的；(二)许可他人使用特殊标志，未签订使用合同，或者使用人在规定期限内未报国务院工商行政管理部门备案或者未报所在地县级以上人民政府工商行政管理机关存查的；(三)超出核准登记的商品或者服务范围使用的。”</w:t>
            </w:r>
          </w:p>
        </w:tc>
        <w:tc>
          <w:tcPr>
            <w:tcW w:w="1264"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　知识产权股、各市场监管所、综合执法队　</w:t>
            </w:r>
          </w:p>
        </w:tc>
      </w:tr>
      <w:tr>
        <w:tblPrEx>
          <w:tblCellMar>
            <w:top w:w="0" w:type="dxa"/>
            <w:left w:w="108" w:type="dxa"/>
            <w:bottom w:w="0" w:type="dxa"/>
            <w:right w:w="108" w:type="dxa"/>
          </w:tblCellMar>
        </w:tblPrEx>
        <w:trPr>
          <w:trHeight w:val="1484" w:hRule="atLeast"/>
          <w:jc w:val="center"/>
        </w:trPr>
        <w:tc>
          <w:tcPr>
            <w:tcW w:w="537"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11</w:t>
            </w:r>
          </w:p>
        </w:tc>
        <w:tc>
          <w:tcPr>
            <w:tcW w:w="6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行政   处罚</w:t>
            </w:r>
          </w:p>
        </w:tc>
        <w:tc>
          <w:tcPr>
            <w:tcW w:w="165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侵犯特殊标志专有权行为的处罚</w:t>
            </w:r>
          </w:p>
        </w:tc>
        <w:tc>
          <w:tcPr>
            <w:tcW w:w="1134"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lang w:val="en-US" w:eastAsia="zh-CN"/>
              </w:rPr>
              <w:t>无</w:t>
            </w:r>
            <w:r>
              <w:rPr>
                <w:rFonts w:hint="eastAsia" w:ascii="宋体" w:hAnsi="宋体" w:cs="宋体"/>
                <w:color w:val="000000" w:themeColor="text1"/>
                <w:kern w:val="0"/>
                <w:sz w:val="18"/>
                <w:szCs w:val="18"/>
              </w:rPr>
              <w:t>　</w:t>
            </w:r>
          </w:p>
        </w:tc>
        <w:tc>
          <w:tcPr>
            <w:tcW w:w="10206"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000000" w:themeColor="text1"/>
                <w:kern w:val="0"/>
                <w:sz w:val="18"/>
                <w:szCs w:val="18"/>
              </w:rPr>
            </w:pPr>
            <w:r>
              <w:rPr>
                <w:rFonts w:hint="eastAsia" w:ascii="宋体" w:hAnsi="宋体" w:cs="宋体"/>
                <w:color w:val="000000" w:themeColor="text1"/>
                <w:kern w:val="0"/>
                <w:sz w:val="18"/>
                <w:szCs w:val="18"/>
              </w:rPr>
              <w:t xml:space="preserve">    《特殊标志管理条例》（1996年7月国务院令第202号）第十六条“有下列行为之一的，由县级以上人民政府工商行政管理部门责令侵权人立即停止侵权行为，没收侵权商品，没收违法所得，并处违法所得5倍以下的罚款，没有违法所得的，处1万元以下的罚款：(一)擅自使用与所有人的特殊标志相同或者近似的文字、图形或者其组合的；(二)未经特殊标志所有人许可，擅自制造、销售其特殊标志或者将其特殊标志用于商业活动的；(三)有给特殊标志所有人造成经济损失的其他行为的。”</w:t>
            </w:r>
          </w:p>
        </w:tc>
        <w:tc>
          <w:tcPr>
            <w:tcW w:w="1264"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宋体" w:hAnsi="宋体" w:cs="宋体"/>
                <w:color w:val="000000" w:themeColor="text1"/>
                <w:kern w:val="0"/>
                <w:sz w:val="18"/>
                <w:szCs w:val="18"/>
              </w:rPr>
            </w:pPr>
          </w:p>
        </w:tc>
      </w:tr>
      <w:tr>
        <w:tblPrEx>
          <w:tblCellMar>
            <w:top w:w="0" w:type="dxa"/>
            <w:left w:w="108" w:type="dxa"/>
            <w:bottom w:w="0" w:type="dxa"/>
            <w:right w:w="108" w:type="dxa"/>
          </w:tblCellMar>
        </w:tblPrEx>
        <w:trPr>
          <w:trHeight w:val="2398" w:hRule="atLeast"/>
          <w:jc w:val="center"/>
        </w:trPr>
        <w:tc>
          <w:tcPr>
            <w:tcW w:w="537"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12</w:t>
            </w:r>
          </w:p>
        </w:tc>
        <w:tc>
          <w:tcPr>
            <w:tcW w:w="6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行政   处罚</w:t>
            </w:r>
          </w:p>
        </w:tc>
        <w:tc>
          <w:tcPr>
            <w:tcW w:w="165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对驰名商标违规进行商业宣传的处罚</w:t>
            </w:r>
          </w:p>
        </w:tc>
        <w:tc>
          <w:tcPr>
            <w:tcW w:w="1134"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lang w:val="en-US" w:eastAsia="zh-CN"/>
              </w:rPr>
              <w:t>无</w:t>
            </w:r>
            <w:r>
              <w:rPr>
                <w:rFonts w:hint="eastAsia" w:ascii="宋体" w:hAnsi="宋体" w:cs="宋体"/>
                <w:color w:val="000000" w:themeColor="text1"/>
                <w:kern w:val="0"/>
                <w:sz w:val="18"/>
                <w:szCs w:val="18"/>
              </w:rPr>
              <w:t>　</w:t>
            </w:r>
          </w:p>
        </w:tc>
        <w:tc>
          <w:tcPr>
            <w:tcW w:w="10206"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000000" w:themeColor="text1"/>
                <w:kern w:val="0"/>
                <w:sz w:val="18"/>
                <w:szCs w:val="18"/>
              </w:rPr>
            </w:pPr>
            <w:r>
              <w:rPr>
                <w:rFonts w:hint="eastAsia" w:ascii="宋体" w:hAnsi="宋体" w:cs="宋体"/>
                <w:color w:val="000000" w:themeColor="text1"/>
                <w:kern w:val="0"/>
                <w:sz w:val="18"/>
                <w:szCs w:val="18"/>
              </w:rPr>
              <w:t xml:space="preserve">    1、《商标法》（1982年8月23日通过，2013年8月修正）第十四条第五款：生产、经营者不得将“驰名商标”字样用于商品、商品包装或者容器上，或者用于广告宣传、展览以及其他商业活动中。第五十三条“违反本法第十四条第五款规定的，由地方工商行政管理部门责令改正，处十万元罚款。”</w:t>
            </w:r>
            <w:r>
              <w:rPr>
                <w:rFonts w:hint="eastAsia" w:ascii="宋体" w:hAnsi="宋体" w:cs="宋体"/>
                <w:color w:val="000000" w:themeColor="text1"/>
                <w:kern w:val="0"/>
                <w:sz w:val="18"/>
                <w:szCs w:val="18"/>
              </w:rPr>
              <w:br w:type="textWrapping"/>
            </w:r>
            <w:r>
              <w:rPr>
                <w:rFonts w:hint="eastAsia" w:ascii="宋体" w:hAnsi="宋体" w:cs="宋体"/>
                <w:color w:val="000000" w:themeColor="text1"/>
                <w:kern w:val="0"/>
                <w:sz w:val="18"/>
                <w:szCs w:val="18"/>
              </w:rPr>
              <w:t xml:space="preserve">    2.《广告法》（1994年10月通过，1995年2月1日施行）第七条“广告内容应当有利于人民的身心健康，促进商品和服务 质量的提高，保护消费者的合法权益，遵守社会公德和职业道德，维护国家的尊严和利益。广告不得有下列情形：……（九）法律、行政法规规定禁止的其他情形。”第三十九条“发布广告违反本法第七条第二款规定的，由广告监督管理机关责令负有责任的广告主、广告经营者、广告发布者停止发布、公开更正，没收广告费用，并处广告费用一倍以上五倍以下的罚款；情节严重的，依法停止其广告业务。构成犯罪的，依法追究刑事责任。”</w:t>
            </w:r>
          </w:p>
        </w:tc>
        <w:tc>
          <w:tcPr>
            <w:tcW w:w="1264"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知识产权股、各市场监管所、综合执法队　　</w:t>
            </w:r>
          </w:p>
        </w:tc>
      </w:tr>
      <w:tr>
        <w:tblPrEx>
          <w:tblCellMar>
            <w:top w:w="0" w:type="dxa"/>
            <w:left w:w="108" w:type="dxa"/>
            <w:bottom w:w="0" w:type="dxa"/>
            <w:right w:w="108" w:type="dxa"/>
          </w:tblCellMar>
        </w:tblPrEx>
        <w:trPr>
          <w:trHeight w:val="1978" w:hRule="atLeast"/>
          <w:jc w:val="center"/>
        </w:trPr>
        <w:tc>
          <w:tcPr>
            <w:tcW w:w="537"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13</w:t>
            </w:r>
          </w:p>
        </w:tc>
        <w:tc>
          <w:tcPr>
            <w:tcW w:w="6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行政   处罚</w:t>
            </w:r>
          </w:p>
        </w:tc>
        <w:tc>
          <w:tcPr>
            <w:tcW w:w="165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集体商标、证明商标注册人对商标的使用怠于管理或控制致使商标使用商品达不到使用管理规则的处罚</w:t>
            </w:r>
          </w:p>
        </w:tc>
        <w:tc>
          <w:tcPr>
            <w:tcW w:w="1134"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lang w:val="en-US" w:eastAsia="zh-CN"/>
              </w:rPr>
              <w:t>无</w:t>
            </w:r>
            <w:r>
              <w:rPr>
                <w:rFonts w:hint="eastAsia" w:ascii="宋体" w:hAnsi="宋体" w:cs="宋体"/>
                <w:color w:val="000000" w:themeColor="text1"/>
                <w:kern w:val="0"/>
                <w:sz w:val="18"/>
                <w:szCs w:val="18"/>
              </w:rPr>
              <w:t>　</w:t>
            </w:r>
          </w:p>
        </w:tc>
        <w:tc>
          <w:tcPr>
            <w:tcW w:w="10206"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000000" w:themeColor="text1"/>
                <w:kern w:val="0"/>
                <w:sz w:val="18"/>
                <w:szCs w:val="18"/>
              </w:rPr>
            </w:pPr>
            <w:r>
              <w:rPr>
                <w:rFonts w:hint="eastAsia" w:ascii="宋体" w:hAnsi="宋体" w:cs="宋体"/>
                <w:color w:val="000000" w:themeColor="text1"/>
                <w:kern w:val="0"/>
                <w:sz w:val="18"/>
                <w:szCs w:val="18"/>
              </w:rPr>
              <w:t xml:space="preserve">   《集体商标、证明商标注册和管理办法》（2003年4月国家工商行政管理总局令第6号）第二十一条“集体商标、证明商标注册人没有对该商标的使用进行有效管理或者控制，致使该商标使用的商品达不到其使用管理规则的要求，对消费者造成损害的，由工商行政管理部门责令限期改正；拒不改正的，处以违法所得三倍以下的罚款，但最高不超过三万元；没有违法所得的，处以一万元以下的罚款。”</w:t>
            </w:r>
          </w:p>
        </w:tc>
        <w:tc>
          <w:tcPr>
            <w:tcW w:w="1264"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宋体" w:hAnsi="宋体" w:cs="宋体"/>
                <w:color w:val="000000" w:themeColor="text1"/>
                <w:kern w:val="0"/>
                <w:sz w:val="18"/>
                <w:szCs w:val="18"/>
              </w:rPr>
            </w:pPr>
          </w:p>
        </w:tc>
      </w:tr>
      <w:tr>
        <w:tblPrEx>
          <w:tblCellMar>
            <w:top w:w="0" w:type="dxa"/>
            <w:left w:w="108" w:type="dxa"/>
            <w:bottom w:w="0" w:type="dxa"/>
            <w:right w:w="108" w:type="dxa"/>
          </w:tblCellMar>
        </w:tblPrEx>
        <w:trPr>
          <w:trHeight w:val="2415" w:hRule="atLeast"/>
          <w:jc w:val="center"/>
        </w:trPr>
        <w:tc>
          <w:tcPr>
            <w:tcW w:w="537"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14</w:t>
            </w:r>
          </w:p>
        </w:tc>
        <w:tc>
          <w:tcPr>
            <w:tcW w:w="6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行政   处罚</w:t>
            </w:r>
          </w:p>
        </w:tc>
        <w:tc>
          <w:tcPr>
            <w:tcW w:w="165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集体商标、证明商标注册人违反商标使用管理规则的处罚</w:t>
            </w:r>
          </w:p>
        </w:tc>
        <w:tc>
          <w:tcPr>
            <w:tcW w:w="1134"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lang w:val="en-US" w:eastAsia="zh-CN"/>
              </w:rPr>
              <w:t>无</w:t>
            </w:r>
            <w:r>
              <w:rPr>
                <w:rFonts w:hint="eastAsia" w:ascii="宋体" w:hAnsi="宋体" w:cs="宋体"/>
                <w:color w:val="000000" w:themeColor="text1"/>
                <w:kern w:val="0"/>
                <w:sz w:val="18"/>
                <w:szCs w:val="18"/>
              </w:rPr>
              <w:t>　</w:t>
            </w:r>
          </w:p>
        </w:tc>
        <w:tc>
          <w:tcPr>
            <w:tcW w:w="10206"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000000" w:themeColor="text1"/>
                <w:kern w:val="0"/>
                <w:sz w:val="18"/>
                <w:szCs w:val="18"/>
              </w:rPr>
            </w:pPr>
            <w:r>
              <w:rPr>
                <w:rFonts w:hint="eastAsia" w:ascii="宋体" w:hAnsi="宋体" w:cs="宋体"/>
                <w:color w:val="000000" w:themeColor="text1"/>
                <w:kern w:val="0"/>
                <w:sz w:val="18"/>
                <w:szCs w:val="18"/>
              </w:rPr>
              <w:t xml:space="preserve">    《集体商标、证明商标注册和管理办法》（2003年4月国家工商行政管理总局令第6号）第十四条“集体商标注册人的成员发生变化的，注册人应当向商标局申请变更注册事项，由商标局公告。”；第十五条“证明商标注册人准许他人使用其商标的，注册人应当在一年内报商标局备案，由商标局公告。”；第十七条“集体商标注册人的集体成员，在履行该集体商标使用管理规则规定的手续后，可以使用该集体商标。集体商标不得许可非集体成员使用。”；第十八条“凡符合证明商标使用管理规则规定条件的，在履行该证明商标使用管理规则规定的手续后，可以使用该证明商标，注册人不得拒绝办理手续。实施条例第六条第二款中的正当使用该地理标志是指正当使用该地理标志中的地名。”；第二十条“证明商标的注册人不得在自己提供的商品上使用该证明商标。”第二十二条“违反实施条例第四条、本办法第十四条、第十五条、第十七条、第十八条、第二十条规定的，由工商行政管理部门责令限期改正；拒不改正的，处以违法所得三倍以下的罚款，但最高不超过三万元；没有违法所得的，处以一万元以下的罚款。”</w:t>
            </w:r>
          </w:p>
        </w:tc>
        <w:tc>
          <w:tcPr>
            <w:tcW w:w="1264" w:type="dxa"/>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　知识产权股、各市场监管所、综合执法队　</w:t>
            </w:r>
          </w:p>
        </w:tc>
      </w:tr>
      <w:tr>
        <w:tblPrEx>
          <w:tblCellMar>
            <w:top w:w="0" w:type="dxa"/>
            <w:left w:w="108" w:type="dxa"/>
            <w:bottom w:w="0" w:type="dxa"/>
            <w:right w:w="108" w:type="dxa"/>
          </w:tblCellMar>
        </w:tblPrEx>
        <w:trPr>
          <w:trHeight w:val="2415" w:hRule="atLeast"/>
          <w:jc w:val="center"/>
        </w:trPr>
        <w:tc>
          <w:tcPr>
            <w:tcW w:w="537"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15</w:t>
            </w:r>
          </w:p>
        </w:tc>
        <w:tc>
          <w:tcPr>
            <w:tcW w:w="6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行政   处罚</w:t>
            </w:r>
          </w:p>
        </w:tc>
        <w:tc>
          <w:tcPr>
            <w:tcW w:w="165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销售的商品或者提供的服务侵犯他人注册商标专用权，伪造或者冒用他人商品特有的名称、包装、装潢的商品行为的处罚</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lang w:val="en-US" w:eastAsia="zh-CN"/>
              </w:rPr>
              <w:t>无</w:t>
            </w:r>
            <w:r>
              <w:rPr>
                <w:rFonts w:hint="eastAsia" w:ascii="宋体" w:hAnsi="宋体" w:cs="宋体"/>
                <w:color w:val="000000" w:themeColor="text1"/>
                <w:kern w:val="0"/>
                <w:sz w:val="18"/>
                <w:szCs w:val="18"/>
              </w:rPr>
              <w:t>　</w:t>
            </w:r>
          </w:p>
        </w:tc>
        <w:tc>
          <w:tcPr>
            <w:tcW w:w="1020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themeColor="text1"/>
                <w:kern w:val="0"/>
                <w:sz w:val="18"/>
                <w:szCs w:val="18"/>
              </w:rPr>
            </w:pPr>
            <w:r>
              <w:rPr>
                <w:rFonts w:hint="eastAsia" w:ascii="宋体" w:hAnsi="宋体" w:cs="宋体"/>
                <w:color w:val="000000" w:themeColor="text1"/>
                <w:kern w:val="0"/>
                <w:sz w:val="18"/>
                <w:szCs w:val="18"/>
              </w:rPr>
              <w:t xml:space="preserve">    《侵害消费者权益行为处罚办法》（2015年3月15日国家工商行政管理总局令 第73号 ）第五条“经营者提供商品或者服务不得有下列行为：（五）销售的商品或者提供的服务侵犯他人注册商标专用权；（六）销售伪造或者冒用知名商品特有的名称、包装、装潢的商品”；第十四条“经营者有本办法第五条至第十一条规定的情形之一，其他法律、法规有规定的，依照法律、法规的规定执行；法律、法规未作规定的，由工商行政管理部门依照《消费者权益保护法》第五十六条予以处罚。”</w:t>
            </w:r>
          </w:p>
        </w:tc>
        <w:tc>
          <w:tcPr>
            <w:tcW w:w="1264" w:type="dxa"/>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　知识产权股、各市场监管所、综合执法队　</w:t>
            </w:r>
          </w:p>
        </w:tc>
      </w:tr>
      <w:tr>
        <w:tblPrEx>
          <w:tblCellMar>
            <w:top w:w="0" w:type="dxa"/>
            <w:left w:w="108" w:type="dxa"/>
            <w:bottom w:w="0" w:type="dxa"/>
            <w:right w:w="108" w:type="dxa"/>
          </w:tblCellMar>
        </w:tblPrEx>
        <w:trPr>
          <w:trHeight w:val="895" w:hRule="atLeast"/>
          <w:jc w:val="center"/>
        </w:trPr>
        <w:tc>
          <w:tcPr>
            <w:tcW w:w="537"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16</w:t>
            </w:r>
          </w:p>
        </w:tc>
        <w:tc>
          <w:tcPr>
            <w:tcW w:w="667"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themeColor="text1"/>
                <w:kern w:val="0"/>
                <w:sz w:val="18"/>
                <w:szCs w:val="18"/>
              </w:rPr>
            </w:pPr>
            <w:r>
              <w:rPr>
                <w:rFonts w:hint="eastAsia" w:ascii="宋体" w:hAnsi="宋体" w:cs="宋体"/>
                <w:color w:val="000000" w:themeColor="text1"/>
                <w:kern w:val="0"/>
                <w:sz w:val="18"/>
                <w:szCs w:val="18"/>
              </w:rPr>
              <w:t>行政处罚</w:t>
            </w:r>
          </w:p>
        </w:tc>
        <w:tc>
          <w:tcPr>
            <w:tcW w:w="165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themeColor="text1"/>
                <w:kern w:val="0"/>
                <w:sz w:val="18"/>
                <w:szCs w:val="18"/>
              </w:rPr>
            </w:pPr>
            <w:r>
              <w:rPr>
                <w:rFonts w:hint="eastAsia" w:ascii="宋体" w:hAnsi="宋体" w:cs="宋体"/>
                <w:color w:val="000000" w:themeColor="text1"/>
                <w:kern w:val="0"/>
                <w:sz w:val="18"/>
                <w:szCs w:val="18"/>
              </w:rPr>
              <w:t>假冒专利的处罚</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lang w:val="en-US" w:eastAsia="zh-CN"/>
              </w:rPr>
              <w:t>无</w:t>
            </w:r>
            <w:r>
              <w:rPr>
                <w:rFonts w:hint="eastAsia" w:ascii="宋体" w:hAnsi="宋体" w:cs="宋体"/>
                <w:color w:val="000000" w:themeColor="text1"/>
                <w:kern w:val="0"/>
                <w:sz w:val="18"/>
                <w:szCs w:val="18"/>
              </w:rPr>
              <w:t>　</w:t>
            </w:r>
          </w:p>
        </w:tc>
        <w:tc>
          <w:tcPr>
            <w:tcW w:w="1020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themeColor="text1"/>
                <w:kern w:val="0"/>
                <w:sz w:val="18"/>
                <w:szCs w:val="18"/>
              </w:rPr>
            </w:pPr>
            <w:r>
              <w:rPr>
                <w:rFonts w:hint="eastAsia" w:ascii="宋体" w:hAnsi="宋体" w:cs="宋体"/>
                <w:color w:val="000000" w:themeColor="text1"/>
                <w:kern w:val="0"/>
                <w:sz w:val="18"/>
                <w:szCs w:val="18"/>
              </w:rPr>
              <w:t>《中华人民共和国专利法》第六十三条：假冒专利的，除依法承担民事责任外，由管理专利工作的部门责令改正并予公告，没收违法所得，可以并处违法所得四倍以下的罚款;没有违法所得的，可以处二十万元以下的罚款;构成犯罪的，依法追究刑事责任。</w:t>
            </w:r>
          </w:p>
        </w:tc>
        <w:tc>
          <w:tcPr>
            <w:tcW w:w="1264" w:type="dxa"/>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　知识产权股、各市场监管所、综合执法队　</w:t>
            </w:r>
          </w:p>
        </w:tc>
      </w:tr>
      <w:tr>
        <w:tblPrEx>
          <w:tblCellMar>
            <w:top w:w="0" w:type="dxa"/>
            <w:left w:w="108" w:type="dxa"/>
            <w:bottom w:w="0" w:type="dxa"/>
            <w:right w:w="108" w:type="dxa"/>
          </w:tblCellMar>
        </w:tblPrEx>
        <w:trPr>
          <w:trHeight w:val="2415" w:hRule="atLeast"/>
          <w:jc w:val="center"/>
        </w:trPr>
        <w:tc>
          <w:tcPr>
            <w:tcW w:w="537"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17</w:t>
            </w:r>
          </w:p>
        </w:tc>
        <w:tc>
          <w:tcPr>
            <w:tcW w:w="667"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themeColor="text1"/>
                <w:kern w:val="0"/>
                <w:sz w:val="18"/>
                <w:szCs w:val="18"/>
              </w:rPr>
            </w:pPr>
            <w:r>
              <w:rPr>
                <w:rFonts w:hint="eastAsia" w:ascii="宋体" w:hAnsi="宋体" w:cs="宋体"/>
                <w:color w:val="000000" w:themeColor="text1"/>
                <w:kern w:val="0"/>
                <w:sz w:val="18"/>
                <w:szCs w:val="18"/>
              </w:rPr>
              <w:t>行政处罚</w:t>
            </w:r>
          </w:p>
        </w:tc>
        <w:tc>
          <w:tcPr>
            <w:tcW w:w="165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themeColor="text1"/>
                <w:kern w:val="0"/>
                <w:sz w:val="18"/>
                <w:szCs w:val="18"/>
              </w:rPr>
            </w:pPr>
            <w:r>
              <w:rPr>
                <w:rFonts w:hint="eastAsia" w:ascii="宋体" w:hAnsi="宋体" w:cs="宋体"/>
                <w:color w:val="000000" w:themeColor="text1"/>
                <w:kern w:val="0"/>
                <w:sz w:val="18"/>
                <w:szCs w:val="18"/>
              </w:rPr>
              <w:t>故意为假冒他人专利或者冒充专利的行为提供资金、场所、运输工具、生产设备或者印刷标识等便利条件的处罚</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lang w:val="en-US" w:eastAsia="zh-CN"/>
              </w:rPr>
              <w:t>无</w:t>
            </w:r>
            <w:r>
              <w:rPr>
                <w:rFonts w:hint="eastAsia" w:ascii="宋体" w:hAnsi="宋体" w:cs="宋体"/>
                <w:color w:val="000000" w:themeColor="text1"/>
                <w:kern w:val="0"/>
                <w:sz w:val="18"/>
                <w:szCs w:val="18"/>
              </w:rPr>
              <w:t>　</w:t>
            </w:r>
          </w:p>
        </w:tc>
        <w:tc>
          <w:tcPr>
            <w:tcW w:w="1020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themeColor="text1"/>
                <w:kern w:val="0"/>
                <w:sz w:val="18"/>
                <w:szCs w:val="18"/>
              </w:rPr>
            </w:pPr>
            <w:r>
              <w:rPr>
                <w:rFonts w:hint="eastAsia" w:ascii="宋体" w:hAnsi="宋体" w:cs="宋体"/>
                <w:color w:val="000000" w:themeColor="text1"/>
                <w:kern w:val="0"/>
                <w:sz w:val="18"/>
                <w:szCs w:val="18"/>
              </w:rPr>
              <w:t xml:space="preserve">《河南省专利保护条例》第九条第二款：任何单位和个人不得故意为假冒他人专利或者冒充专利的行为提供资金、场所、运输工具、生产设备或者印刷标识等便利条件。第三十一条：违反本条例第九条第二款、第十条第三项、第十一条第二款规定的，由管理专利工作的部门没收违法所得，并处违法所得一倍以上三倍以下的罚款；没有违法所得的，处二千元以上二万元以下的罚款。    </w:t>
            </w:r>
          </w:p>
        </w:tc>
        <w:tc>
          <w:tcPr>
            <w:tcW w:w="1264" w:type="dxa"/>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　知识产权股、各市场监管所、综合执法队　</w:t>
            </w:r>
          </w:p>
        </w:tc>
      </w:tr>
      <w:tr>
        <w:tblPrEx>
          <w:tblCellMar>
            <w:top w:w="0" w:type="dxa"/>
            <w:left w:w="108" w:type="dxa"/>
            <w:bottom w:w="0" w:type="dxa"/>
            <w:right w:w="108" w:type="dxa"/>
          </w:tblCellMar>
        </w:tblPrEx>
        <w:trPr>
          <w:trHeight w:val="350" w:hRule="atLeast"/>
          <w:jc w:val="center"/>
        </w:trPr>
        <w:tc>
          <w:tcPr>
            <w:tcW w:w="537"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18</w:t>
            </w:r>
          </w:p>
        </w:tc>
        <w:tc>
          <w:tcPr>
            <w:tcW w:w="667"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themeColor="text1"/>
                <w:kern w:val="0"/>
                <w:sz w:val="18"/>
                <w:szCs w:val="18"/>
              </w:rPr>
            </w:pPr>
            <w:r>
              <w:rPr>
                <w:rFonts w:hint="eastAsia" w:ascii="宋体" w:hAnsi="宋体" w:cs="宋体"/>
                <w:color w:val="000000" w:themeColor="text1"/>
                <w:kern w:val="0"/>
                <w:sz w:val="18"/>
                <w:szCs w:val="18"/>
              </w:rPr>
              <w:t>行政处罚</w:t>
            </w:r>
          </w:p>
        </w:tc>
        <w:tc>
          <w:tcPr>
            <w:tcW w:w="165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themeColor="text1"/>
                <w:kern w:val="0"/>
                <w:sz w:val="18"/>
                <w:szCs w:val="18"/>
              </w:rPr>
            </w:pPr>
            <w:r>
              <w:rPr>
                <w:rFonts w:hint="eastAsia" w:ascii="宋体" w:hAnsi="宋体" w:cs="宋体"/>
                <w:color w:val="000000" w:themeColor="text1"/>
                <w:kern w:val="0"/>
                <w:sz w:val="18"/>
                <w:szCs w:val="18"/>
              </w:rPr>
              <w:t>专利中介服务机构及其工作人员以不正当手段招揽业务，与当事人串通谋取不正当利益，泄露当事人的商业秘密，损害其他当事人的合法权益或者社会公共利益的处罚。</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lang w:val="en-US" w:eastAsia="zh-CN"/>
              </w:rPr>
              <w:t>无</w:t>
            </w:r>
            <w:r>
              <w:rPr>
                <w:rFonts w:hint="eastAsia" w:ascii="宋体" w:hAnsi="宋体" w:cs="宋体"/>
                <w:color w:val="000000" w:themeColor="text1"/>
                <w:kern w:val="0"/>
                <w:sz w:val="18"/>
                <w:szCs w:val="18"/>
              </w:rPr>
              <w:t>　</w:t>
            </w:r>
          </w:p>
        </w:tc>
        <w:tc>
          <w:tcPr>
            <w:tcW w:w="1020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themeColor="text1"/>
                <w:kern w:val="0"/>
                <w:sz w:val="18"/>
                <w:szCs w:val="18"/>
              </w:rPr>
            </w:pPr>
            <w:r>
              <w:rPr>
                <w:rFonts w:hint="eastAsia" w:ascii="宋体" w:hAnsi="宋体" w:cs="宋体"/>
                <w:color w:val="000000" w:themeColor="text1"/>
                <w:kern w:val="0"/>
                <w:sz w:val="18"/>
                <w:szCs w:val="18"/>
              </w:rPr>
              <w:t>《河南省专利保护条例》第十一条：鼓励、支持社会力量依法设立专利中介服务机构。专利中介服务机构及其工作人员不得以不正当手段招揽业务，不得与当事人串通谋取不正当利益，不得泄露当事人的商业秘密，不得损害其他当事人的合法权益或者社会公共利益。第三十一条：违反本条例第九条第二款、第十条第三项、第十一条第二款规定的，由管理专利工作的部门没收违法所得，并处违法所得一倍以上三倍以下的罚款；没有违法所得的，处二千元以上二万元以下的罚款。</w:t>
            </w:r>
          </w:p>
        </w:tc>
        <w:tc>
          <w:tcPr>
            <w:tcW w:w="1264" w:type="dxa"/>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　知识产权股、各市场监管所、综合执法队　</w:t>
            </w:r>
          </w:p>
        </w:tc>
      </w:tr>
      <w:tr>
        <w:tblPrEx>
          <w:tblCellMar>
            <w:top w:w="0" w:type="dxa"/>
            <w:left w:w="108" w:type="dxa"/>
            <w:bottom w:w="0" w:type="dxa"/>
            <w:right w:w="108" w:type="dxa"/>
          </w:tblCellMar>
        </w:tblPrEx>
        <w:trPr>
          <w:trHeight w:val="1201" w:hRule="atLeast"/>
          <w:jc w:val="center"/>
        </w:trPr>
        <w:tc>
          <w:tcPr>
            <w:tcW w:w="537"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19</w:t>
            </w:r>
          </w:p>
        </w:tc>
        <w:tc>
          <w:tcPr>
            <w:tcW w:w="667"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themeColor="text1"/>
                <w:kern w:val="0"/>
                <w:sz w:val="18"/>
                <w:szCs w:val="18"/>
              </w:rPr>
            </w:pPr>
            <w:r>
              <w:rPr>
                <w:rFonts w:hint="eastAsia" w:ascii="宋体" w:hAnsi="宋体" w:cs="宋体"/>
                <w:color w:val="000000" w:themeColor="text1"/>
                <w:kern w:val="0"/>
                <w:sz w:val="18"/>
                <w:szCs w:val="18"/>
              </w:rPr>
              <w:t>行政处罚</w:t>
            </w:r>
          </w:p>
        </w:tc>
        <w:tc>
          <w:tcPr>
            <w:tcW w:w="165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themeColor="text1"/>
                <w:kern w:val="0"/>
                <w:sz w:val="18"/>
                <w:szCs w:val="18"/>
              </w:rPr>
            </w:pPr>
            <w:r>
              <w:rPr>
                <w:rFonts w:hint="eastAsia" w:ascii="宋体" w:hAnsi="宋体" w:cs="宋体"/>
                <w:color w:val="000000" w:themeColor="text1"/>
                <w:kern w:val="0"/>
                <w:sz w:val="18"/>
                <w:szCs w:val="18"/>
              </w:rPr>
              <w:t>经依法处理后继续侵犯专利权的处罚</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lang w:val="en-US" w:eastAsia="zh-CN"/>
              </w:rPr>
              <w:t>无</w:t>
            </w:r>
            <w:r>
              <w:rPr>
                <w:rFonts w:hint="eastAsia" w:ascii="宋体" w:hAnsi="宋体" w:cs="宋体"/>
                <w:color w:val="000000" w:themeColor="text1"/>
                <w:kern w:val="0"/>
                <w:sz w:val="18"/>
                <w:szCs w:val="18"/>
              </w:rPr>
              <w:t>　</w:t>
            </w:r>
          </w:p>
        </w:tc>
        <w:tc>
          <w:tcPr>
            <w:tcW w:w="1020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themeColor="text1"/>
                <w:kern w:val="0"/>
                <w:sz w:val="18"/>
                <w:szCs w:val="18"/>
              </w:rPr>
            </w:pPr>
            <w:r>
              <w:rPr>
                <w:rFonts w:hint="eastAsia" w:ascii="宋体" w:hAnsi="宋体" w:cs="宋体"/>
                <w:color w:val="000000" w:themeColor="text1"/>
                <w:kern w:val="0"/>
                <w:sz w:val="18"/>
                <w:szCs w:val="18"/>
              </w:rPr>
              <w:t xml:space="preserve">《河南省专利保护条例》第十条：对下列行为，管理专利工作的部门可以依法进行查处：（三）经依法处理后继续侵犯专利权；第三十一条：违反本条例第九条第二款、第十条第三项、第十一条第二款规定的，由管理专利工作的部门没收违法所得，并处违法所得一倍以上三倍以下的罚款；没有违法所得的，处二千元以上二万元以下的罚款。 </w:t>
            </w:r>
          </w:p>
        </w:tc>
        <w:tc>
          <w:tcPr>
            <w:tcW w:w="1264" w:type="dxa"/>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　知识产权股、各市场监管所、综合执法队　</w:t>
            </w:r>
          </w:p>
        </w:tc>
      </w:tr>
      <w:tr>
        <w:tblPrEx>
          <w:tblCellMar>
            <w:top w:w="0" w:type="dxa"/>
            <w:left w:w="108" w:type="dxa"/>
            <w:bottom w:w="0" w:type="dxa"/>
            <w:right w:w="108" w:type="dxa"/>
          </w:tblCellMar>
        </w:tblPrEx>
        <w:trPr>
          <w:trHeight w:val="1201" w:hRule="atLeast"/>
          <w:jc w:val="center"/>
        </w:trPr>
        <w:tc>
          <w:tcPr>
            <w:tcW w:w="537"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20</w:t>
            </w:r>
          </w:p>
        </w:tc>
        <w:tc>
          <w:tcPr>
            <w:tcW w:w="667"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themeColor="text1"/>
                <w:kern w:val="0"/>
                <w:sz w:val="18"/>
                <w:szCs w:val="18"/>
              </w:rPr>
            </w:pPr>
            <w:r>
              <w:rPr>
                <w:rFonts w:hint="eastAsia" w:ascii="宋体" w:hAnsi="宋体" w:cs="宋体"/>
                <w:color w:val="000000" w:themeColor="text1"/>
                <w:kern w:val="0"/>
                <w:sz w:val="18"/>
                <w:szCs w:val="18"/>
              </w:rPr>
              <w:t>行政强制</w:t>
            </w:r>
          </w:p>
        </w:tc>
        <w:tc>
          <w:tcPr>
            <w:tcW w:w="165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themeColor="text1"/>
                <w:kern w:val="0"/>
                <w:sz w:val="18"/>
                <w:szCs w:val="18"/>
              </w:rPr>
            </w:pPr>
            <w:r>
              <w:rPr>
                <w:rFonts w:hint="eastAsia" w:ascii="宋体" w:hAnsi="宋体"/>
                <w:color w:val="000000" w:themeColor="text1"/>
                <w:sz w:val="18"/>
                <w:szCs w:val="18"/>
              </w:rPr>
              <w:t>查封、扣押假冒专利的产品</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lang w:val="en-US" w:eastAsia="zh-CN"/>
              </w:rPr>
              <w:t>无</w:t>
            </w:r>
          </w:p>
        </w:tc>
        <w:tc>
          <w:tcPr>
            <w:tcW w:w="1020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themeColor="text1"/>
                <w:kern w:val="0"/>
                <w:sz w:val="18"/>
                <w:szCs w:val="18"/>
              </w:rPr>
            </w:pPr>
            <w:r>
              <w:rPr>
                <w:rFonts w:hint="eastAsia" w:ascii="宋体" w:hAnsi="宋体"/>
                <w:color w:val="000000" w:themeColor="text1"/>
                <w:sz w:val="18"/>
                <w:szCs w:val="18"/>
              </w:rPr>
              <w:t>《中华人民共和国专利法》第六十四条：检查与涉嫌违法行为有关的产品，对有证据证明是假冒专利的产品，可以查封或者扣押。</w:t>
            </w:r>
          </w:p>
        </w:tc>
        <w:tc>
          <w:tcPr>
            <w:tcW w:w="1264" w:type="dxa"/>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　知识产权股、各市场监管所、综合执法队</w:t>
            </w:r>
          </w:p>
        </w:tc>
      </w:tr>
      <w:tr>
        <w:tblPrEx>
          <w:tblCellMar>
            <w:top w:w="0" w:type="dxa"/>
            <w:left w:w="108" w:type="dxa"/>
            <w:bottom w:w="0" w:type="dxa"/>
            <w:right w:w="108" w:type="dxa"/>
          </w:tblCellMar>
        </w:tblPrEx>
        <w:trPr>
          <w:trHeight w:val="1119" w:hRule="atLeast"/>
          <w:jc w:val="center"/>
        </w:trPr>
        <w:tc>
          <w:tcPr>
            <w:tcW w:w="537"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21</w:t>
            </w:r>
          </w:p>
        </w:tc>
        <w:tc>
          <w:tcPr>
            <w:tcW w:w="667"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themeColor="text1"/>
                <w:kern w:val="0"/>
                <w:sz w:val="18"/>
                <w:szCs w:val="18"/>
              </w:rPr>
            </w:pPr>
            <w:r>
              <w:rPr>
                <w:rFonts w:hint="eastAsia" w:ascii="宋体" w:hAnsi="宋体" w:cs="宋体"/>
                <w:color w:val="000000" w:themeColor="text1"/>
                <w:kern w:val="0"/>
                <w:sz w:val="18"/>
                <w:szCs w:val="18"/>
              </w:rPr>
              <w:t>行政处罚</w:t>
            </w:r>
          </w:p>
        </w:tc>
        <w:tc>
          <w:tcPr>
            <w:tcW w:w="1652" w:type="dxa"/>
            <w:tcBorders>
              <w:top w:val="nil"/>
              <w:left w:val="nil"/>
              <w:bottom w:val="single" w:color="auto" w:sz="4" w:space="0"/>
              <w:right w:val="single" w:color="auto" w:sz="4" w:space="0"/>
            </w:tcBorders>
            <w:shd w:val="clear" w:color="auto" w:fill="auto"/>
            <w:vAlign w:val="center"/>
          </w:tcPr>
          <w:p>
            <w:pPr>
              <w:widowControl/>
              <w:spacing w:line="270" w:lineRule="exact"/>
              <w:jc w:val="left"/>
              <w:rPr>
                <w:rFonts w:ascii="宋体" w:hAnsi="宋体" w:cs="宋体"/>
                <w:color w:val="000000" w:themeColor="text1"/>
                <w:kern w:val="0"/>
                <w:sz w:val="18"/>
                <w:szCs w:val="18"/>
              </w:rPr>
            </w:pPr>
            <w:r>
              <w:rPr>
                <w:rFonts w:hint="eastAsia" w:ascii="宋体" w:hAnsi="宋体" w:cs="宋体"/>
                <w:color w:val="000000" w:themeColor="text1"/>
                <w:kern w:val="0"/>
                <w:sz w:val="18"/>
                <w:szCs w:val="18"/>
              </w:rPr>
              <w:t>擅自启封、处理被封存物品的处罚</w:t>
            </w:r>
          </w:p>
        </w:tc>
        <w:tc>
          <w:tcPr>
            <w:tcW w:w="1134" w:type="dxa"/>
            <w:tcBorders>
              <w:top w:val="nil"/>
              <w:left w:val="nil"/>
              <w:bottom w:val="single" w:color="auto" w:sz="4" w:space="0"/>
              <w:right w:val="single" w:color="auto" w:sz="4" w:space="0"/>
            </w:tcBorders>
            <w:shd w:val="clear" w:color="auto" w:fill="auto"/>
            <w:vAlign w:val="center"/>
          </w:tcPr>
          <w:p>
            <w:pPr>
              <w:widowControl/>
              <w:spacing w:line="27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lang w:val="en-US" w:eastAsia="zh-CN"/>
              </w:rPr>
              <w:t>无</w:t>
            </w:r>
            <w:r>
              <w:rPr>
                <w:rFonts w:hint="eastAsia" w:ascii="宋体" w:hAnsi="宋体" w:cs="宋体"/>
                <w:color w:val="000000" w:themeColor="text1"/>
                <w:kern w:val="0"/>
                <w:sz w:val="18"/>
                <w:szCs w:val="18"/>
              </w:rPr>
              <w:t>　</w:t>
            </w:r>
          </w:p>
        </w:tc>
        <w:tc>
          <w:tcPr>
            <w:tcW w:w="10206" w:type="dxa"/>
            <w:tcBorders>
              <w:top w:val="nil"/>
              <w:left w:val="nil"/>
              <w:bottom w:val="single" w:color="auto" w:sz="4" w:space="0"/>
              <w:right w:val="single" w:color="auto" w:sz="4" w:space="0"/>
            </w:tcBorders>
            <w:shd w:val="clear" w:color="auto" w:fill="auto"/>
            <w:vAlign w:val="center"/>
          </w:tcPr>
          <w:p>
            <w:pPr>
              <w:widowControl/>
              <w:spacing w:line="270" w:lineRule="exact"/>
              <w:jc w:val="left"/>
              <w:rPr>
                <w:rFonts w:ascii="宋体" w:hAnsi="宋体" w:cs="宋体"/>
                <w:color w:val="000000" w:themeColor="text1"/>
                <w:kern w:val="0"/>
                <w:sz w:val="18"/>
                <w:szCs w:val="18"/>
              </w:rPr>
            </w:pPr>
            <w:r>
              <w:rPr>
                <w:rFonts w:hint="eastAsia" w:ascii="宋体" w:hAnsi="宋体" w:cs="宋体"/>
                <w:color w:val="000000" w:themeColor="text1"/>
                <w:kern w:val="0"/>
                <w:sz w:val="18"/>
                <w:szCs w:val="18"/>
              </w:rPr>
              <w:t>《河南省专利保护条例》第三十二条第二款：擅自启封、处理被封存物品的，由管理专利工作的部门责令改正，并可处被封存物品价值一倍以上三倍以下的罚款。</w:t>
            </w:r>
          </w:p>
        </w:tc>
        <w:tc>
          <w:tcPr>
            <w:tcW w:w="1264" w:type="dxa"/>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　知识产权股、各市场监管所、综合执法队　</w:t>
            </w:r>
          </w:p>
        </w:tc>
      </w:tr>
      <w:tr>
        <w:tblPrEx>
          <w:tblCellMar>
            <w:top w:w="0" w:type="dxa"/>
            <w:left w:w="108" w:type="dxa"/>
            <w:bottom w:w="0" w:type="dxa"/>
            <w:right w:w="108" w:type="dxa"/>
          </w:tblCellMar>
        </w:tblPrEx>
        <w:trPr>
          <w:trHeight w:val="978" w:hRule="atLeast"/>
          <w:jc w:val="center"/>
        </w:trPr>
        <w:tc>
          <w:tcPr>
            <w:tcW w:w="537"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22</w:t>
            </w:r>
          </w:p>
        </w:tc>
        <w:tc>
          <w:tcPr>
            <w:tcW w:w="667"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其他  职权</w:t>
            </w:r>
          </w:p>
        </w:tc>
        <w:tc>
          <w:tcPr>
            <w:tcW w:w="165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商标侵权赔偿数额调解</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lang w:val="en-US" w:eastAsia="zh-CN"/>
              </w:rPr>
              <w:t>无</w:t>
            </w:r>
            <w:r>
              <w:rPr>
                <w:rFonts w:hint="eastAsia" w:ascii="宋体" w:hAnsi="宋体" w:cs="宋体"/>
                <w:color w:val="000000" w:themeColor="text1"/>
                <w:kern w:val="0"/>
                <w:sz w:val="18"/>
                <w:szCs w:val="18"/>
              </w:rPr>
              <w:t>　</w:t>
            </w:r>
          </w:p>
        </w:tc>
        <w:tc>
          <w:tcPr>
            <w:tcW w:w="10206"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000000" w:themeColor="text1"/>
                <w:kern w:val="0"/>
                <w:sz w:val="18"/>
                <w:szCs w:val="18"/>
              </w:rPr>
            </w:pPr>
            <w:r>
              <w:rPr>
                <w:rFonts w:hint="eastAsia" w:ascii="宋体" w:hAnsi="宋体" w:cs="宋体"/>
                <w:color w:val="000000" w:themeColor="text1"/>
                <w:kern w:val="0"/>
                <w:sz w:val="18"/>
                <w:szCs w:val="18"/>
              </w:rPr>
              <w:t xml:space="preserve">    《商标法》(1982年8月通过，2013年8月修正)第六十条第三款“对侵犯商标专用权的赔偿数额的争议，当事人可以请求进行处理的工商行政管理部门调解，也可以依照《中华人民共和国民事诉讼法》向人民法院起诉。 经工商行政管理部门调解，当事人未达成协议或者调解书生效后不履行的，当事人可以依照《中华人民共和国民事诉讼法》向人民法院起诉。”</w:t>
            </w:r>
          </w:p>
        </w:tc>
        <w:tc>
          <w:tcPr>
            <w:tcW w:w="1264" w:type="dxa"/>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知识产权股、各市场监管所　　</w:t>
            </w:r>
          </w:p>
        </w:tc>
      </w:tr>
      <w:tr>
        <w:tblPrEx>
          <w:tblCellMar>
            <w:top w:w="0" w:type="dxa"/>
            <w:left w:w="108" w:type="dxa"/>
            <w:bottom w:w="0" w:type="dxa"/>
            <w:right w:w="108" w:type="dxa"/>
          </w:tblCellMar>
        </w:tblPrEx>
        <w:trPr>
          <w:trHeight w:val="1264" w:hRule="atLeast"/>
          <w:jc w:val="center"/>
        </w:trPr>
        <w:tc>
          <w:tcPr>
            <w:tcW w:w="537"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23</w:t>
            </w:r>
          </w:p>
        </w:tc>
        <w:tc>
          <w:tcPr>
            <w:tcW w:w="667"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其他  职权</w:t>
            </w:r>
          </w:p>
        </w:tc>
        <w:tc>
          <w:tcPr>
            <w:tcW w:w="165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世界博览会标志侵权赔偿数额调解</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lang w:val="en-US" w:eastAsia="zh-CN"/>
              </w:rPr>
              <w:t>无</w:t>
            </w:r>
            <w:r>
              <w:rPr>
                <w:rFonts w:hint="eastAsia" w:ascii="宋体" w:hAnsi="宋体" w:cs="宋体"/>
                <w:color w:val="000000" w:themeColor="text1"/>
                <w:kern w:val="0"/>
                <w:sz w:val="18"/>
                <w:szCs w:val="18"/>
              </w:rPr>
              <w:t>　</w:t>
            </w:r>
          </w:p>
        </w:tc>
        <w:tc>
          <w:tcPr>
            <w:tcW w:w="10206"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000000" w:themeColor="text1"/>
                <w:kern w:val="0"/>
                <w:sz w:val="18"/>
                <w:szCs w:val="18"/>
              </w:rPr>
            </w:pPr>
            <w:r>
              <w:rPr>
                <w:rFonts w:hint="eastAsia" w:ascii="宋体" w:hAnsi="宋体" w:cs="宋体"/>
                <w:color w:val="000000" w:themeColor="text1"/>
                <w:kern w:val="0"/>
                <w:sz w:val="18"/>
                <w:szCs w:val="18"/>
              </w:rPr>
              <w:t xml:space="preserve">    《世界博览会标志保护条例》（2004年10月国务院令第422号）第九条第二款“应当事人的请求，工商行政管理部门可以就侵犯世界博览会标志专有权的赔偿数额进行调解；调解不成的，当事人可以依法向人民法院提起诉讼。”</w:t>
            </w:r>
          </w:p>
        </w:tc>
        <w:tc>
          <w:tcPr>
            <w:tcW w:w="1264" w:type="dxa"/>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知识产权股、各市场监管所</w:t>
            </w:r>
          </w:p>
        </w:tc>
      </w:tr>
      <w:tr>
        <w:tblPrEx>
          <w:tblCellMar>
            <w:top w:w="0" w:type="dxa"/>
            <w:left w:w="108" w:type="dxa"/>
            <w:bottom w:w="0" w:type="dxa"/>
            <w:right w:w="108" w:type="dxa"/>
          </w:tblCellMar>
        </w:tblPrEx>
        <w:trPr>
          <w:trHeight w:val="1267" w:hRule="atLeast"/>
          <w:jc w:val="center"/>
        </w:trPr>
        <w:tc>
          <w:tcPr>
            <w:tcW w:w="537"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24</w:t>
            </w:r>
          </w:p>
        </w:tc>
        <w:tc>
          <w:tcPr>
            <w:tcW w:w="667"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其他  职权</w:t>
            </w:r>
          </w:p>
        </w:tc>
        <w:tc>
          <w:tcPr>
            <w:tcW w:w="165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奥林匹克标志侵权赔偿数额调解</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lang w:val="en-US" w:eastAsia="zh-CN"/>
              </w:rPr>
              <w:t>无</w:t>
            </w:r>
            <w:r>
              <w:rPr>
                <w:rFonts w:hint="eastAsia" w:ascii="宋体" w:hAnsi="宋体" w:cs="宋体"/>
                <w:color w:val="000000" w:themeColor="text1"/>
                <w:kern w:val="0"/>
                <w:sz w:val="18"/>
                <w:szCs w:val="18"/>
              </w:rPr>
              <w:t>　</w:t>
            </w:r>
          </w:p>
        </w:tc>
        <w:tc>
          <w:tcPr>
            <w:tcW w:w="10206"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000000" w:themeColor="text1"/>
                <w:kern w:val="0"/>
                <w:sz w:val="18"/>
                <w:szCs w:val="18"/>
              </w:rPr>
            </w:pPr>
            <w:r>
              <w:rPr>
                <w:rFonts w:hint="eastAsia" w:ascii="宋体" w:hAnsi="宋体" w:cs="宋体"/>
                <w:color w:val="000000" w:themeColor="text1"/>
                <w:kern w:val="0"/>
                <w:sz w:val="18"/>
                <w:szCs w:val="18"/>
              </w:rPr>
              <w:t xml:space="preserve">    《奥林匹克标志保护条例》（2002年2月国务院令第315号）第十条第一款“……进行处理的工商行政管理部门应当事人的请求，可以就侵犯奥林匹克标志专有权的赔偿数额进行调解；调解不成的，当事人可以依照《中华人民共和国民事诉讼法》向人民法院提起诉讼。”</w:t>
            </w:r>
          </w:p>
        </w:tc>
        <w:tc>
          <w:tcPr>
            <w:tcW w:w="1264" w:type="dxa"/>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知识产权股、各市场监管所</w:t>
            </w:r>
          </w:p>
        </w:tc>
      </w:tr>
      <w:tr>
        <w:tblPrEx>
          <w:tblCellMar>
            <w:top w:w="0" w:type="dxa"/>
            <w:left w:w="108" w:type="dxa"/>
            <w:bottom w:w="0" w:type="dxa"/>
            <w:right w:w="108" w:type="dxa"/>
          </w:tblCellMar>
        </w:tblPrEx>
        <w:trPr>
          <w:trHeight w:val="988" w:hRule="atLeast"/>
          <w:jc w:val="center"/>
        </w:trPr>
        <w:tc>
          <w:tcPr>
            <w:tcW w:w="537"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25</w:t>
            </w:r>
          </w:p>
        </w:tc>
        <w:tc>
          <w:tcPr>
            <w:tcW w:w="667"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其他  职权</w:t>
            </w:r>
          </w:p>
        </w:tc>
        <w:tc>
          <w:tcPr>
            <w:tcW w:w="165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特殊标志侵权民事赔偿调解</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lang w:val="en-US" w:eastAsia="zh-CN"/>
              </w:rPr>
              <w:t>无</w:t>
            </w:r>
            <w:r>
              <w:rPr>
                <w:rFonts w:hint="eastAsia" w:ascii="宋体" w:hAnsi="宋体" w:cs="宋体"/>
                <w:color w:val="000000" w:themeColor="text1"/>
                <w:kern w:val="0"/>
                <w:sz w:val="18"/>
                <w:szCs w:val="18"/>
              </w:rPr>
              <w:t>　</w:t>
            </w:r>
          </w:p>
        </w:tc>
        <w:tc>
          <w:tcPr>
            <w:tcW w:w="10206"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000000" w:themeColor="text1"/>
                <w:kern w:val="0"/>
                <w:sz w:val="18"/>
                <w:szCs w:val="18"/>
              </w:rPr>
            </w:pPr>
            <w:r>
              <w:rPr>
                <w:rFonts w:hint="eastAsia" w:ascii="宋体" w:hAnsi="宋体" w:cs="宋体"/>
                <w:color w:val="000000" w:themeColor="text1"/>
                <w:kern w:val="0"/>
                <w:sz w:val="18"/>
                <w:szCs w:val="18"/>
              </w:rPr>
              <w:t xml:space="preserve">    《特殊标志管理条例》（1996年7月国务院令第202号）第十七条第二款“工商行政管理部门受理特殊标志侵权案件投诉的，应当依特殊标志所有人的请求，就侵权的民事赔偿主持调解;调解不成的，特殊标志所有人可以向人民法院起诉。”</w:t>
            </w:r>
          </w:p>
        </w:tc>
        <w:tc>
          <w:tcPr>
            <w:tcW w:w="1264" w:type="dxa"/>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知识产权股、各市场监管所　</w:t>
            </w:r>
          </w:p>
        </w:tc>
      </w:tr>
      <w:tr>
        <w:tblPrEx>
          <w:tblCellMar>
            <w:top w:w="0" w:type="dxa"/>
            <w:left w:w="108" w:type="dxa"/>
            <w:bottom w:w="0" w:type="dxa"/>
            <w:right w:w="108" w:type="dxa"/>
          </w:tblCellMar>
        </w:tblPrEx>
        <w:trPr>
          <w:trHeight w:val="1909" w:hRule="atLeast"/>
          <w:jc w:val="center"/>
        </w:trPr>
        <w:tc>
          <w:tcPr>
            <w:tcW w:w="537"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26</w:t>
            </w:r>
          </w:p>
        </w:tc>
        <w:tc>
          <w:tcPr>
            <w:tcW w:w="667"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行政检查</w:t>
            </w:r>
          </w:p>
        </w:tc>
        <w:tc>
          <w:tcPr>
            <w:tcW w:w="165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展会专利保护监督检查</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lang w:val="en-US" w:eastAsia="zh-CN"/>
              </w:rPr>
              <w:t>无</w:t>
            </w:r>
            <w:r>
              <w:rPr>
                <w:rFonts w:hint="eastAsia" w:ascii="宋体" w:hAnsi="宋体" w:cs="宋体"/>
                <w:color w:val="000000" w:themeColor="text1"/>
                <w:kern w:val="0"/>
                <w:sz w:val="18"/>
                <w:szCs w:val="18"/>
              </w:rPr>
              <w:t>　</w:t>
            </w:r>
          </w:p>
        </w:tc>
        <w:tc>
          <w:tcPr>
            <w:tcW w:w="10206"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000000" w:themeColor="text1"/>
                <w:kern w:val="0"/>
                <w:sz w:val="18"/>
                <w:szCs w:val="18"/>
              </w:rPr>
            </w:pPr>
            <w:r>
              <w:rPr>
                <w:rFonts w:hint="eastAsia" w:ascii="宋体" w:hAnsi="宋体" w:cs="宋体"/>
                <w:color w:val="000000" w:themeColor="text1"/>
                <w:kern w:val="0"/>
                <w:sz w:val="18"/>
                <w:szCs w:val="18"/>
              </w:rPr>
              <w:t xml:space="preserve">      商务部、国家工商总局、国家版权局、国家知识产权局令2006年第1号公布的《展会知识产权保护办法》：第三条 展会管理部门应加强对展会期间知识产权保护的协调、监督、 检查，维护展会的正常交易秩序。 第四条 展会主办方应当依法维护知识产权权利人的合法权益。展会主办方在招商招展时，应加强对参展方有关知识产权的保护和对参展项目（包括展品、展板及相关宣传资料等）的知识产权状况的审查。在展会期间，展会主办方应当积极配合知识产权行政管理部门的知识产权保护工作。  第五条 参展方应当合法参展，不得侵犯他人知识产权，并应对知识产权行政管理部门或司法部门的调查予以配合。 《河南省专利保护条例》第十四条：管理专利工作的部门负责参会产品、技术中涉及专利产品或者专利技术的监督管理。</w:t>
            </w:r>
          </w:p>
        </w:tc>
        <w:tc>
          <w:tcPr>
            <w:tcW w:w="126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知识产权股、各市场监管所</w:t>
            </w:r>
          </w:p>
        </w:tc>
      </w:tr>
      <w:tr>
        <w:tblPrEx>
          <w:tblCellMar>
            <w:top w:w="0" w:type="dxa"/>
            <w:left w:w="108" w:type="dxa"/>
            <w:bottom w:w="0" w:type="dxa"/>
            <w:right w:w="108" w:type="dxa"/>
          </w:tblCellMar>
        </w:tblPrEx>
        <w:trPr>
          <w:trHeight w:val="1753" w:hRule="atLeast"/>
          <w:jc w:val="center"/>
        </w:trPr>
        <w:tc>
          <w:tcPr>
            <w:tcW w:w="537"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27</w:t>
            </w:r>
          </w:p>
        </w:tc>
        <w:tc>
          <w:tcPr>
            <w:tcW w:w="667" w:type="dxa"/>
            <w:tcBorders>
              <w:top w:val="single" w:color="auto" w:sz="4" w:space="0"/>
              <w:left w:val="nil"/>
              <w:bottom w:val="single" w:color="auto" w:sz="4" w:space="0"/>
              <w:right w:val="nil"/>
            </w:tcBorders>
            <w:shd w:val="clear" w:color="auto" w:fill="auto"/>
            <w:vAlign w:val="center"/>
          </w:tcPr>
          <w:p>
            <w:pPr>
              <w:widowControl/>
              <w:spacing w:line="240" w:lineRule="exact"/>
              <w:jc w:val="left"/>
              <w:rPr>
                <w:rFonts w:ascii="宋体" w:hAnsi="宋体" w:cs="宋体"/>
                <w:color w:val="000000" w:themeColor="text1"/>
                <w:kern w:val="0"/>
                <w:sz w:val="18"/>
                <w:szCs w:val="18"/>
              </w:rPr>
            </w:pPr>
            <w:r>
              <w:rPr>
                <w:rFonts w:hint="eastAsia" w:ascii="宋体" w:hAnsi="宋体" w:cs="宋体"/>
                <w:color w:val="000000" w:themeColor="text1"/>
                <w:kern w:val="0"/>
                <w:sz w:val="18"/>
                <w:szCs w:val="18"/>
              </w:rPr>
              <w:t>其他  职权</w:t>
            </w:r>
          </w:p>
        </w:tc>
        <w:tc>
          <w:tcPr>
            <w:tcW w:w="1652" w:type="dxa"/>
            <w:tcBorders>
              <w:top w:val="single" w:color="auto" w:sz="4" w:space="0"/>
              <w:left w:val="single" w:color="auto" w:sz="4" w:space="0"/>
              <w:bottom w:val="single" w:color="auto" w:sz="4" w:space="0"/>
              <w:right w:val="nil"/>
            </w:tcBorders>
            <w:shd w:val="clear" w:color="auto" w:fill="auto"/>
            <w:vAlign w:val="center"/>
          </w:tcPr>
          <w:p>
            <w:pPr>
              <w:widowControl/>
              <w:spacing w:line="24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专利侵权纠纷处理</w:t>
            </w:r>
          </w:p>
        </w:tc>
        <w:tc>
          <w:tcPr>
            <w:tcW w:w="1134"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lang w:val="en-US" w:eastAsia="zh-CN"/>
              </w:rPr>
              <w:t>无</w:t>
            </w:r>
          </w:p>
        </w:tc>
        <w:tc>
          <w:tcPr>
            <w:tcW w:w="1020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themeColor="text1"/>
                <w:kern w:val="0"/>
                <w:sz w:val="18"/>
                <w:szCs w:val="18"/>
              </w:rPr>
            </w:pPr>
            <w:r>
              <w:rPr>
                <w:rFonts w:hint="eastAsia" w:ascii="宋体" w:hAnsi="宋体" w:cs="宋体"/>
                <w:color w:val="000000" w:themeColor="text1"/>
                <w:kern w:val="0"/>
                <w:sz w:val="18"/>
                <w:szCs w:val="18"/>
              </w:rPr>
              <w:t xml:space="preserve">《中华人民共和国专利法》第六十条:“未经专利权人许可,实施其专利,即侵犯其专利权,引起纠纷的,由当事人协商解决;不愿协商或者协商不成的,专利权人或者利害关系人可以向人民法院起诉,也可以请求管理专利工作的部门处理。管理专利工作的部门处理时,认定侵权行为成立的,可以责令侵权人立即停止侵权行为,当事人不服的,可以自收到处理通知之日起十五日内依照《中华人民共和国行政诉讼法》向人民法院起诉;侵权人期满不起诉又不停止侵权行为的,管理专利工作的部门可以申请人民法院强制执行。进行处理的管理专利工作的部门应当事人的请求,可以就侵犯专利权的赔偿数额进行调解;调解不成的,当事人可以依照《中华人民共和国民事诉讼法》向人民法院起诉。”   </w:t>
            </w:r>
          </w:p>
        </w:tc>
        <w:tc>
          <w:tcPr>
            <w:tcW w:w="126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知识产权股、各市场监管所</w:t>
            </w:r>
          </w:p>
        </w:tc>
      </w:tr>
      <w:tr>
        <w:tblPrEx>
          <w:tblCellMar>
            <w:top w:w="0" w:type="dxa"/>
            <w:left w:w="108" w:type="dxa"/>
            <w:bottom w:w="0" w:type="dxa"/>
            <w:right w:w="108" w:type="dxa"/>
          </w:tblCellMar>
        </w:tblPrEx>
        <w:trPr>
          <w:trHeight w:val="1589" w:hRule="atLeast"/>
          <w:jc w:val="center"/>
        </w:trPr>
        <w:tc>
          <w:tcPr>
            <w:tcW w:w="537"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28</w:t>
            </w:r>
          </w:p>
        </w:tc>
        <w:tc>
          <w:tcPr>
            <w:tcW w:w="667" w:type="dxa"/>
            <w:tcBorders>
              <w:top w:val="single" w:color="auto" w:sz="4" w:space="0"/>
              <w:left w:val="nil"/>
              <w:bottom w:val="single" w:color="auto" w:sz="4" w:space="0"/>
              <w:right w:val="nil"/>
            </w:tcBorders>
            <w:shd w:val="clear" w:color="auto" w:fill="auto"/>
            <w:vAlign w:val="center"/>
          </w:tcPr>
          <w:p>
            <w:pPr>
              <w:widowControl/>
              <w:spacing w:line="240" w:lineRule="exact"/>
              <w:jc w:val="left"/>
              <w:rPr>
                <w:rFonts w:ascii="宋体" w:hAnsi="宋体" w:cs="宋体"/>
                <w:color w:val="000000" w:themeColor="text1"/>
                <w:kern w:val="0"/>
                <w:sz w:val="18"/>
                <w:szCs w:val="18"/>
              </w:rPr>
            </w:pPr>
            <w:r>
              <w:rPr>
                <w:rFonts w:hint="eastAsia" w:ascii="宋体" w:hAnsi="宋体" w:cs="宋体"/>
                <w:color w:val="000000" w:themeColor="text1"/>
                <w:kern w:val="0"/>
                <w:sz w:val="18"/>
                <w:szCs w:val="18"/>
              </w:rPr>
              <w:t>其他  职权</w:t>
            </w:r>
          </w:p>
        </w:tc>
        <w:tc>
          <w:tcPr>
            <w:tcW w:w="1652" w:type="dxa"/>
            <w:tcBorders>
              <w:top w:val="single" w:color="auto" w:sz="4" w:space="0"/>
              <w:left w:val="single" w:color="auto" w:sz="4" w:space="0"/>
              <w:bottom w:val="single" w:color="auto" w:sz="4" w:space="0"/>
              <w:right w:val="nil"/>
            </w:tcBorders>
            <w:shd w:val="clear" w:color="auto" w:fill="auto"/>
            <w:vAlign w:val="center"/>
          </w:tcPr>
          <w:p>
            <w:pPr>
              <w:widowControl/>
              <w:spacing w:line="24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企事业单位知识产权维权援助</w:t>
            </w:r>
          </w:p>
        </w:tc>
        <w:tc>
          <w:tcPr>
            <w:tcW w:w="1134" w:type="dxa"/>
            <w:tcBorders>
              <w:top w:val="nil"/>
              <w:left w:val="single" w:color="auto" w:sz="4" w:space="0"/>
              <w:bottom w:val="single" w:color="auto" w:sz="4" w:space="0"/>
              <w:right w:val="single" w:color="auto" w:sz="4" w:space="0"/>
            </w:tcBorders>
            <w:shd w:val="clear" w:color="auto" w:fill="auto"/>
            <w:vAlign w:val="center"/>
          </w:tcPr>
          <w:p>
            <w:pPr>
              <w:widowControl/>
              <w:spacing w:line="27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lang w:val="en-US" w:eastAsia="zh-CN"/>
              </w:rPr>
              <w:t>无</w:t>
            </w:r>
            <w:r>
              <w:rPr>
                <w:rFonts w:hint="eastAsia" w:ascii="宋体" w:hAnsi="宋体" w:cs="宋体"/>
                <w:color w:val="000000" w:themeColor="text1"/>
                <w:kern w:val="0"/>
                <w:sz w:val="18"/>
                <w:szCs w:val="18"/>
              </w:rPr>
              <w:t>　</w:t>
            </w:r>
          </w:p>
        </w:tc>
        <w:tc>
          <w:tcPr>
            <w:tcW w:w="1020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themeColor="text1"/>
                <w:kern w:val="0"/>
                <w:sz w:val="18"/>
                <w:szCs w:val="18"/>
              </w:rPr>
            </w:pPr>
            <w:r>
              <w:rPr>
                <w:rFonts w:hint="eastAsia" w:ascii="宋体" w:hAnsi="宋体" w:cs="宋体"/>
                <w:color w:val="000000" w:themeColor="text1"/>
                <w:kern w:val="0"/>
                <w:sz w:val="18"/>
                <w:szCs w:val="18"/>
              </w:rPr>
              <w:t>《关于开展知识产权维权援助工作的指导意见》(国知发管字〔2007〕157号)，要求在各地成立各级维权援助中心，开展知识产权维权援助工作。</w:t>
            </w:r>
            <w:r>
              <w:rPr>
                <w:rFonts w:hint="eastAsia" w:ascii="宋体" w:hAnsi="宋体" w:cs="宋体"/>
                <w:color w:val="000000" w:themeColor="text1"/>
                <w:kern w:val="0"/>
                <w:sz w:val="18"/>
                <w:szCs w:val="18"/>
              </w:rPr>
              <w:br w:type="textWrapping"/>
            </w:r>
          </w:p>
        </w:tc>
        <w:tc>
          <w:tcPr>
            <w:tcW w:w="126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知识产权股、各市场监管所　</w:t>
            </w:r>
          </w:p>
        </w:tc>
      </w:tr>
      <w:tr>
        <w:tblPrEx>
          <w:tblCellMar>
            <w:top w:w="0" w:type="dxa"/>
            <w:left w:w="108" w:type="dxa"/>
            <w:bottom w:w="0" w:type="dxa"/>
            <w:right w:w="108" w:type="dxa"/>
          </w:tblCellMar>
        </w:tblPrEx>
        <w:trPr>
          <w:trHeight w:val="1186" w:hRule="atLeast"/>
          <w:jc w:val="center"/>
        </w:trPr>
        <w:tc>
          <w:tcPr>
            <w:tcW w:w="537"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29</w:t>
            </w:r>
          </w:p>
        </w:tc>
        <w:tc>
          <w:tcPr>
            <w:tcW w:w="667" w:type="dxa"/>
            <w:tcBorders>
              <w:top w:val="single" w:color="auto" w:sz="4" w:space="0"/>
              <w:left w:val="nil"/>
              <w:bottom w:val="single" w:color="auto" w:sz="4" w:space="0"/>
              <w:right w:val="nil"/>
            </w:tcBorders>
            <w:shd w:val="clear" w:color="auto" w:fill="auto"/>
            <w:vAlign w:val="center"/>
          </w:tcPr>
          <w:p>
            <w:pPr>
              <w:widowControl/>
              <w:spacing w:line="240" w:lineRule="exact"/>
              <w:jc w:val="left"/>
              <w:rPr>
                <w:rFonts w:ascii="宋体" w:hAnsi="宋体" w:cs="宋体"/>
                <w:color w:val="000000" w:themeColor="text1"/>
                <w:kern w:val="0"/>
                <w:sz w:val="18"/>
                <w:szCs w:val="18"/>
              </w:rPr>
            </w:pPr>
            <w:r>
              <w:rPr>
                <w:rFonts w:hint="eastAsia" w:ascii="宋体" w:hAnsi="宋体" w:cs="宋体"/>
                <w:color w:val="000000" w:themeColor="text1"/>
                <w:kern w:val="0"/>
                <w:sz w:val="18"/>
                <w:szCs w:val="18"/>
              </w:rPr>
              <w:t>其他  职权</w:t>
            </w:r>
          </w:p>
        </w:tc>
        <w:tc>
          <w:tcPr>
            <w:tcW w:w="1652" w:type="dxa"/>
            <w:tcBorders>
              <w:top w:val="single" w:color="auto" w:sz="4" w:space="0"/>
              <w:left w:val="single" w:color="auto" w:sz="4" w:space="0"/>
              <w:bottom w:val="single" w:color="auto" w:sz="4" w:space="0"/>
              <w:right w:val="nil"/>
            </w:tcBorders>
            <w:shd w:val="clear" w:color="auto" w:fill="auto"/>
            <w:vAlign w:val="center"/>
          </w:tcPr>
          <w:p>
            <w:pPr>
              <w:widowControl/>
              <w:spacing w:line="24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专利纠纷调解</w:t>
            </w:r>
          </w:p>
        </w:tc>
        <w:tc>
          <w:tcPr>
            <w:tcW w:w="1134"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lang w:val="en-US" w:eastAsia="zh-CN"/>
              </w:rPr>
              <w:t>无</w:t>
            </w:r>
            <w:r>
              <w:rPr>
                <w:rFonts w:hint="eastAsia" w:ascii="宋体" w:hAnsi="宋体" w:cs="宋体"/>
                <w:color w:val="000000" w:themeColor="text1"/>
                <w:kern w:val="0"/>
                <w:sz w:val="18"/>
                <w:szCs w:val="18"/>
              </w:rPr>
              <w:t>　</w:t>
            </w:r>
          </w:p>
        </w:tc>
        <w:tc>
          <w:tcPr>
            <w:tcW w:w="1020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themeColor="text1"/>
                <w:kern w:val="0"/>
                <w:sz w:val="18"/>
                <w:szCs w:val="18"/>
              </w:rPr>
            </w:pPr>
            <w:r>
              <w:rPr>
                <w:rFonts w:hint="eastAsia" w:ascii="宋体" w:hAnsi="宋体" w:cs="宋体"/>
                <w:color w:val="000000" w:themeColor="text1"/>
                <w:kern w:val="0"/>
                <w:sz w:val="18"/>
                <w:szCs w:val="18"/>
              </w:rPr>
              <w:t>《中华人民共和国专利法实施细则》第八十五条:“除专利法第六十条规定的外,管理专利工作的部门应当事人请求,可以对下列专利纠纷进行调解:(一)专利申请权和专利权归属纠纷;(二)发明人、设计人资格纠纷;(三)职务发明创造的发明人、设计人的奖励和报酬纠纷;(四)在发明专利申请公布后专利权授予前使用发明而未支付适当费用的纠纷;(五)其他专利纠纷。对于前款第(四)项所列的纠纷,当事人请求管理专利工作的部门调解的,应当在专利权被授予之后提出。”</w:t>
            </w:r>
            <w:r>
              <w:rPr>
                <w:rFonts w:hint="eastAsia" w:ascii="宋体" w:hAnsi="宋体" w:cs="宋体"/>
                <w:color w:val="000000" w:themeColor="text1"/>
                <w:kern w:val="0"/>
                <w:sz w:val="18"/>
                <w:szCs w:val="18"/>
              </w:rPr>
              <w:br w:type="textWrapping"/>
            </w:r>
          </w:p>
        </w:tc>
        <w:tc>
          <w:tcPr>
            <w:tcW w:w="126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知识产权股、各市场监管所</w:t>
            </w:r>
          </w:p>
        </w:tc>
      </w:tr>
    </w:tbl>
    <w:p>
      <w:pPr>
        <w:rPr>
          <w:rFonts w:eastAsia="方正小标宋简体"/>
          <w:color w:val="000000" w:themeColor="text1"/>
          <w:sz w:val="44"/>
        </w:rPr>
      </w:pPr>
      <w:bookmarkStart w:id="0" w:name="_GoBack"/>
      <w:bookmarkEnd w:id="0"/>
    </w:p>
    <w:sectPr>
      <w:footerReference r:id="rId3" w:type="default"/>
      <w:footerReference r:id="rId4" w:type="even"/>
      <w:pgSz w:w="16838" w:h="11906" w:orient="landscape"/>
      <w:pgMar w:top="1134" w:right="1418" w:bottom="851" w:left="1418"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sz w:val="16"/>
      </w:rPr>
    </w:pPr>
    <w:r>
      <w:rPr>
        <w:rFonts w:hint="eastAsia" w:ascii="宋体" w:hAnsi="宋体"/>
        <w:sz w:val="24"/>
        <w:szCs w:val="28"/>
      </w:rPr>
      <w:t xml:space="preserve">— </w:t>
    </w:r>
    <w:r>
      <w:rPr>
        <w:rFonts w:ascii="宋体" w:hAnsi="宋体"/>
        <w:sz w:val="24"/>
        <w:szCs w:val="28"/>
      </w:rPr>
      <w:fldChar w:fldCharType="begin"/>
    </w:r>
    <w:r>
      <w:rPr>
        <w:rFonts w:ascii="宋体" w:hAnsi="宋体"/>
        <w:sz w:val="24"/>
        <w:szCs w:val="28"/>
      </w:rPr>
      <w:instrText xml:space="preserve">PAGE   \* MERGEFORMAT</w:instrText>
    </w:r>
    <w:r>
      <w:rPr>
        <w:rFonts w:ascii="宋体" w:hAnsi="宋体"/>
        <w:sz w:val="24"/>
        <w:szCs w:val="28"/>
      </w:rPr>
      <w:fldChar w:fldCharType="separate"/>
    </w:r>
    <w:r>
      <w:rPr>
        <w:rFonts w:ascii="宋体" w:hAnsi="宋体"/>
        <w:sz w:val="24"/>
        <w:szCs w:val="28"/>
        <w:lang w:val="zh-CN"/>
      </w:rPr>
      <w:t>5</w:t>
    </w:r>
    <w:r>
      <w:rPr>
        <w:rFonts w:ascii="宋体" w:hAnsi="宋体"/>
        <w:sz w:val="24"/>
        <w:szCs w:val="28"/>
      </w:rPr>
      <w:fldChar w:fldCharType="end"/>
    </w:r>
    <w:r>
      <w:rPr>
        <w:rFonts w:hint="eastAsia" w:ascii="宋体" w:hAnsi="宋体"/>
        <w:sz w:val="24"/>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sz w:val="16"/>
      </w:rPr>
    </w:pPr>
    <w:r>
      <w:rPr>
        <w:rFonts w:hint="eastAsia" w:ascii="宋体" w:hAnsi="宋体"/>
        <w:sz w:val="24"/>
        <w:szCs w:val="28"/>
      </w:rPr>
      <w:t xml:space="preserve">— </w:t>
    </w:r>
    <w:r>
      <w:rPr>
        <w:rFonts w:ascii="宋体" w:hAnsi="宋体"/>
        <w:sz w:val="24"/>
        <w:szCs w:val="28"/>
      </w:rPr>
      <w:fldChar w:fldCharType="begin"/>
    </w:r>
    <w:r>
      <w:rPr>
        <w:rFonts w:ascii="宋体" w:hAnsi="宋体"/>
        <w:sz w:val="24"/>
        <w:szCs w:val="28"/>
      </w:rPr>
      <w:instrText xml:space="preserve">PAGE   \* MERGEFORMAT</w:instrText>
    </w:r>
    <w:r>
      <w:rPr>
        <w:rFonts w:ascii="宋体" w:hAnsi="宋体"/>
        <w:sz w:val="24"/>
        <w:szCs w:val="28"/>
      </w:rPr>
      <w:fldChar w:fldCharType="separate"/>
    </w:r>
    <w:r>
      <w:rPr>
        <w:rFonts w:ascii="宋体" w:hAnsi="宋体"/>
        <w:sz w:val="24"/>
        <w:szCs w:val="28"/>
        <w:lang w:val="zh-CN"/>
      </w:rPr>
      <w:t>6</w:t>
    </w:r>
    <w:r>
      <w:rPr>
        <w:rFonts w:ascii="宋体" w:hAnsi="宋体"/>
        <w:sz w:val="24"/>
        <w:szCs w:val="28"/>
      </w:rPr>
      <w:fldChar w:fldCharType="end"/>
    </w:r>
    <w:r>
      <w:rPr>
        <w:rFonts w:hint="eastAsia" w:ascii="宋体" w:hAnsi="宋体"/>
        <w:sz w:val="24"/>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D2A15"/>
    <w:rsid w:val="00007674"/>
    <w:rsid w:val="00082920"/>
    <w:rsid w:val="001C1567"/>
    <w:rsid w:val="0037680C"/>
    <w:rsid w:val="003B7F4B"/>
    <w:rsid w:val="003D71B0"/>
    <w:rsid w:val="003F23E4"/>
    <w:rsid w:val="00417FB0"/>
    <w:rsid w:val="00486693"/>
    <w:rsid w:val="004B225D"/>
    <w:rsid w:val="00560CCC"/>
    <w:rsid w:val="006218AE"/>
    <w:rsid w:val="00627D78"/>
    <w:rsid w:val="006627DD"/>
    <w:rsid w:val="006B5669"/>
    <w:rsid w:val="006B617A"/>
    <w:rsid w:val="006F6D3B"/>
    <w:rsid w:val="007448C6"/>
    <w:rsid w:val="007C604B"/>
    <w:rsid w:val="008B0B2E"/>
    <w:rsid w:val="008D2A15"/>
    <w:rsid w:val="009A5E97"/>
    <w:rsid w:val="009C5D1B"/>
    <w:rsid w:val="00A31F4A"/>
    <w:rsid w:val="00A4073D"/>
    <w:rsid w:val="00A44CA8"/>
    <w:rsid w:val="00A72F88"/>
    <w:rsid w:val="00B070FB"/>
    <w:rsid w:val="00B46385"/>
    <w:rsid w:val="00B54459"/>
    <w:rsid w:val="00BB255A"/>
    <w:rsid w:val="00BD59FD"/>
    <w:rsid w:val="00C563A7"/>
    <w:rsid w:val="00C571F8"/>
    <w:rsid w:val="00CA2FC6"/>
    <w:rsid w:val="00DA0DB7"/>
    <w:rsid w:val="00DA51C3"/>
    <w:rsid w:val="00DA58BC"/>
    <w:rsid w:val="00DA6C58"/>
    <w:rsid w:val="00E7328C"/>
    <w:rsid w:val="00E863DA"/>
    <w:rsid w:val="00EF7A7E"/>
    <w:rsid w:val="00F1435D"/>
    <w:rsid w:val="31A14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8</Pages>
  <Words>1576</Words>
  <Characters>8989</Characters>
  <Lines>74</Lines>
  <Paragraphs>21</Paragraphs>
  <TotalTime>0</TotalTime>
  <ScaleCrop>false</ScaleCrop>
  <LinksUpToDate>false</LinksUpToDate>
  <CharactersWithSpaces>10544</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2020-07-28T07:53:00Z</dcterms:created>
  <dc:creator>Administrator</dc:creator>
  <cp:lastModifiedBy>夏日清凉（帆）</cp:lastModifiedBy>
  <dcterms:modified xsi:type="dcterms:W3CDTF">2020-08-06T10:17:16Z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