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宋体" w:hAnsi="宋体" w:cs="Arial"/>
          <w:b/>
          <w:bCs/>
          <w:kern w:val="0"/>
          <w:sz w:val="38"/>
          <w:szCs w:val="38"/>
        </w:rPr>
      </w:pPr>
      <w:r>
        <w:rPr>
          <w:rFonts w:hint="eastAsia" w:ascii="宋体" w:hAnsi="宋体" w:cs="Arial"/>
          <w:b/>
          <w:bCs/>
          <w:kern w:val="0"/>
          <w:sz w:val="38"/>
          <w:szCs w:val="38"/>
        </w:rPr>
        <w:t>舞阳县人民检察院</w:t>
      </w:r>
      <w:r>
        <w:rPr>
          <w:rFonts w:ascii="宋体" w:hAnsi="宋体" w:cs="Arial"/>
          <w:b/>
          <w:bCs/>
          <w:kern w:val="0"/>
          <w:sz w:val="38"/>
          <w:szCs w:val="38"/>
        </w:rPr>
        <w:t>201</w:t>
      </w:r>
      <w:r>
        <w:rPr>
          <w:rFonts w:hint="eastAsia" w:ascii="宋体" w:hAnsi="宋体" w:cs="Arial"/>
          <w:b/>
          <w:bCs/>
          <w:kern w:val="0"/>
          <w:sz w:val="38"/>
          <w:szCs w:val="38"/>
        </w:rPr>
        <w:t>9</w:t>
      </w:r>
      <w:r>
        <w:rPr>
          <w:rFonts w:ascii="宋体" w:hAnsi="宋体" w:cs="Arial"/>
          <w:b/>
          <w:bCs/>
          <w:kern w:val="0"/>
          <w:sz w:val="38"/>
          <w:szCs w:val="38"/>
        </w:rPr>
        <w:t>年</w:t>
      </w:r>
      <w:r>
        <w:rPr>
          <w:rFonts w:hint="eastAsia" w:ascii="宋体" w:hAnsi="宋体" w:cs="Arial"/>
          <w:b/>
          <w:bCs/>
          <w:kern w:val="0"/>
          <w:sz w:val="38"/>
          <w:szCs w:val="38"/>
        </w:rPr>
        <w:t>部门预算基本情况说明</w:t>
      </w:r>
    </w:p>
    <w:p>
      <w:pPr>
        <w:widowControl/>
        <w:spacing w:line="600" w:lineRule="exact"/>
        <w:jc w:val="center"/>
        <w:rPr>
          <w:rFonts w:ascii="宋体" w:hAnsi="宋体" w:cs="Arial"/>
          <w:b/>
          <w:bCs/>
          <w:kern w:val="0"/>
          <w:sz w:val="38"/>
          <w:szCs w:val="38"/>
        </w:rPr>
      </w:pPr>
    </w:p>
    <w:p>
      <w:pPr>
        <w:pStyle w:val="4"/>
        <w:snapToGrid w:val="0"/>
        <w:spacing w:before="0" w:beforeAutospacing="0" w:after="0" w:afterAutospacing="0" w:line="600" w:lineRule="exact"/>
        <w:jc w:val="center"/>
        <w:rPr>
          <w:rFonts w:cs="Tahoma"/>
          <w:sz w:val="44"/>
          <w:szCs w:val="44"/>
        </w:rPr>
      </w:pPr>
      <w:r>
        <w:rPr>
          <w:rFonts w:hint="eastAsia" w:cs="Tahoma"/>
          <w:sz w:val="44"/>
          <w:szCs w:val="44"/>
        </w:rPr>
        <w:t>目 录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第一部分 部门基本情况</w:t>
      </w:r>
    </w:p>
    <w:p>
      <w:pPr>
        <w:pStyle w:val="4"/>
        <w:snapToGrid w:val="0"/>
        <w:spacing w:before="0" w:beforeAutospacing="0" w:after="0" w:afterAutospacing="0" w:line="600" w:lineRule="exact"/>
        <w:ind w:firstLine="420" w:firstLineChars="15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一、部门机构设置、主要职能</w:t>
      </w:r>
    </w:p>
    <w:p>
      <w:pPr>
        <w:pStyle w:val="4"/>
        <w:snapToGrid w:val="0"/>
        <w:spacing w:before="0" w:beforeAutospacing="0" w:after="0" w:afterAutospacing="0" w:line="600" w:lineRule="exact"/>
        <w:ind w:firstLine="420" w:firstLineChars="15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二、部门预算单位构成</w:t>
      </w:r>
    </w:p>
    <w:p>
      <w:pPr>
        <w:pStyle w:val="4"/>
        <w:snapToGrid w:val="0"/>
        <w:spacing w:before="0" w:beforeAutospacing="0" w:after="0" w:afterAutospacing="0" w:line="600" w:lineRule="exact"/>
        <w:ind w:firstLine="420" w:firstLineChars="15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三、人员构成情况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第二部分 舞阳县人民检察院2019年度部门预算情况说明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第三部分 名词解释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附件：2019年度部门预算表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一、部门收支总体情况表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二、部门收入总体情况表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三、部门支出总体情况表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四、财政拨款收支总体情况表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五、一般公共预算支出情况表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六、一般公共预算基本支出情况表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七、一般公共预算“三公经费”支出情况表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八、政府性基金预算支出情况表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九、国有资本经营预算支出情况表</w:t>
      </w: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rPr>
          <w:rFonts w:cs="Tahoma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ind w:firstLine="560"/>
        <w:rPr>
          <w:rFonts w:cs="Tahoma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ind w:firstLine="560"/>
        <w:rPr>
          <w:rFonts w:cs="Tahoma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ind w:firstLine="1820" w:firstLineChars="650"/>
        <w:rPr>
          <w:rFonts w:cs="Tahoma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ind w:firstLine="3373" w:firstLineChars="1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第一部分</w:t>
      </w:r>
    </w:p>
    <w:p>
      <w:pPr>
        <w:pStyle w:val="4"/>
        <w:snapToGrid w:val="0"/>
        <w:spacing w:before="0" w:beforeAutospacing="0" w:after="0" w:afterAutospacing="0" w:line="600" w:lineRule="exact"/>
        <w:ind w:firstLine="3092" w:firstLineChars="11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部门基本情况</w:t>
      </w:r>
    </w:p>
    <w:p>
      <w:pPr>
        <w:pStyle w:val="4"/>
        <w:snapToGrid w:val="0"/>
        <w:spacing w:before="0" w:beforeAutospacing="0" w:after="0" w:afterAutospacing="0" w:line="600" w:lineRule="exact"/>
        <w:ind w:firstLine="3092" w:firstLineChars="1100"/>
        <w:rPr>
          <w:rFonts w:cs="Tahoma"/>
          <w:b/>
          <w:color w:val="FF0000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ind w:firstLine="56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一、部门机构设置、职能</w:t>
      </w:r>
    </w:p>
    <w:p>
      <w:pPr>
        <w:pStyle w:val="4"/>
        <w:spacing w:beforeAutospacing="0" w:after="150" w:afterAutospacing="0" w:line="520" w:lineRule="atLeast"/>
        <w:ind w:firstLine="640"/>
        <w:jc w:val="both"/>
        <w:rPr>
          <w:rFonts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机构设置：舞阳县人民检察院内设15个职能科室：办公室、政治处、监察室、侦查监督科、公诉科、监所检察科、民事行政检察科、控告申诉检察科、案件管理办公室、检委会办公室、司法警察大队、检察技术科、计划财务装备科、机关后勤服务中心、机关党委。</w:t>
      </w:r>
    </w:p>
    <w:p>
      <w:pPr>
        <w:pStyle w:val="4"/>
        <w:adjustRightInd w:val="0"/>
        <w:snapToGrid w:val="0"/>
        <w:spacing w:beforeAutospacing="0" w:afterAutospacing="0" w:line="360" w:lineRule="auto"/>
        <w:ind w:firstLine="562" w:firstLineChars="200"/>
        <w:rPr>
          <w:rStyle w:val="7"/>
          <w:rFonts w:cs="宋体"/>
          <w:color w:val="000000"/>
          <w:sz w:val="28"/>
          <w:szCs w:val="28"/>
        </w:rPr>
      </w:pPr>
      <w:r>
        <w:rPr>
          <w:rStyle w:val="7"/>
          <w:rFonts w:hint="eastAsia" w:cs="宋体"/>
          <w:color w:val="000000"/>
          <w:sz w:val="28"/>
          <w:szCs w:val="28"/>
        </w:rPr>
        <w:t>主要职责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舞阳县人民检察院是国家法律监督机关，对县人民代表大会及常务委员会负责并报告工作，接受县人民代表大会及常务委员会的监督，接受漯河市人民检察院的领导。其主要职责是：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1、依法向县人民代表大会及其常务委员会提出议案。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2、贯彻市人民检察院确定的检察工作方针；落实市人民检察院确定的各项检察工作。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3、对刑事犯罪案件依法审查批准逮捕、决定逮捕、提起公诉。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4、依法对刑事诉讼、民事审判和行政诉讼实行法律监督。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5、依法对执行机关执行刑罚的活动是否合法实施监督。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6、对人民法院已经发生法律效力，确有错误的判决、裁定，依法提起抗诉。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7、受理单位和个人的控告、申诉、举报以及犯罪嫌疑人的自首，办理刑事赔偿事项。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8、规划检察机关的检察技术工作和物证检验、鉴定、审核工作。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9、提出检察工作改革意见，经主管部门批准后组织实施；负责检察机关的理论研究工作。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10、对检察工作中具体应用法律的问题进行研究，向立法机关和市人民检察院提出立法及司法解释建议。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11、负责检察机关队伍建设和思想政治工作；依法管理检察官及其他检察人员的工作。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12、负责检察机关司法警察的管理和呈报授衔工作。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13、提请县人民代表大会常务委员会决定任免县人民检察院的副检察长、检察委员会委员、检察员。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14、负责全院检察干部教育培训工作；负责全院的检察宣传工作。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15、负责全院的财务装备工作和检察技术信息工作。</w:t>
      </w:r>
    </w:p>
    <w:p>
      <w:pPr>
        <w:pStyle w:val="4"/>
        <w:spacing w:beforeAutospacing="0" w:afterAutospacing="0" w:line="270" w:lineRule="atLeast"/>
        <w:ind w:firstLine="640"/>
        <w:rPr>
          <w:rFonts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16、管理检察机关和所属事业单位的工作人员。</w:t>
      </w:r>
    </w:p>
    <w:p>
      <w:pPr>
        <w:pStyle w:val="4"/>
        <w:spacing w:beforeAutospacing="0" w:afterAutospacing="0" w:line="270" w:lineRule="atLeast"/>
        <w:ind w:firstLine="640"/>
        <w:rPr>
          <w:rFonts w:cs="Tahoma"/>
          <w:b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</w:rPr>
        <w:t>17、负责其他应当由县人民检察院承办的事项。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二、部门预算单位构成</w:t>
      </w:r>
    </w:p>
    <w:p>
      <w:pPr>
        <w:pStyle w:val="4"/>
        <w:snapToGrid w:val="0"/>
        <w:spacing w:before="0" w:beforeAutospacing="0" w:after="200" w:afterAutospacing="0" w:line="360" w:lineRule="auto"/>
        <w:ind w:firstLine="560"/>
        <w:rPr>
          <w:rFonts w:ascii="Tahoma" w:hAnsi="Tahoma" w:cs="Tahoma"/>
          <w:sz w:val="22"/>
          <w:szCs w:val="22"/>
        </w:rPr>
      </w:pPr>
      <w:r>
        <w:rPr>
          <w:rFonts w:hint="eastAsia" w:cs="Tahoma"/>
          <w:sz w:val="28"/>
          <w:szCs w:val="28"/>
        </w:rPr>
        <w:t>舞阳县人民检察院作为县财政局的一级预算单位，部门预算由 1个预算单位组成。即为：舞阳县人民检察院本级</w:t>
      </w:r>
      <w:r>
        <w:rPr>
          <w:rFonts w:hint="eastAsia" w:cs="Tahoma"/>
          <w:sz w:val="28"/>
          <w:szCs w:val="28"/>
          <w:lang w:val="en-US" w:eastAsia="zh-CN"/>
        </w:rPr>
        <w:t>(包含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15个内设职能科室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）</w:t>
      </w:r>
      <w:r>
        <w:rPr>
          <w:rFonts w:hint="eastAsia" w:cs="Tahoma"/>
          <w:sz w:val="28"/>
          <w:szCs w:val="28"/>
        </w:rPr>
        <w:t>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562" w:firstLineChars="200"/>
        <w:rPr>
          <w:rFonts w:cs="Tahoma"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三、人员构成情况</w:t>
      </w:r>
    </w:p>
    <w:p>
      <w:pPr>
        <w:pStyle w:val="4"/>
        <w:adjustRightInd w:val="0"/>
        <w:snapToGrid w:val="0"/>
        <w:spacing w:before="0" w:beforeAutospacing="0" w:after="200" w:afterAutospacing="0" w:line="360" w:lineRule="auto"/>
        <w:ind w:firstLine="56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舞阳县人民检察院核定行政编制70名，事业编制6名。现机关在职人员94人，离退休人员35人。</w:t>
      </w:r>
    </w:p>
    <w:p>
      <w:pPr>
        <w:pStyle w:val="4"/>
        <w:snapToGrid w:val="0"/>
        <w:spacing w:before="0" w:beforeAutospacing="0" w:after="0" w:afterAutospacing="0" w:line="600" w:lineRule="exact"/>
        <w:ind w:firstLine="3514" w:firstLineChars="125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 xml:space="preserve">第二部分 </w:t>
      </w:r>
    </w:p>
    <w:p>
      <w:pPr>
        <w:pStyle w:val="4"/>
        <w:snapToGrid w:val="0"/>
        <w:spacing w:before="0" w:beforeAutospacing="0" w:after="0" w:afterAutospacing="0" w:line="600" w:lineRule="exact"/>
        <w:ind w:firstLine="2389" w:firstLineChars="85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2019年度部门预算情况说明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2019年部门预算主要任务是：</w:t>
      </w:r>
    </w:p>
    <w:p>
      <w:pPr>
        <w:widowControl/>
        <w:spacing w:line="590" w:lineRule="exact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面贯彻落实党的十九大和十九届二中、三中全会精神，按照县委十三届八次全会工作部署，紧紧围绕“三五三三”工作布局，保障检察工作的正常运转，以服务全院干警为前提，为各个办案科室以及综合科室提供强有力的经济保障，从而完成好各项检察工作，并提高财政资金使用效益。</w:t>
      </w:r>
    </w:p>
    <w:p>
      <w:pPr>
        <w:widowControl/>
        <w:spacing w:line="590" w:lineRule="exact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color w:val="FF0000"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一、收入支出预算总体情况说明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2019年收入总计1626万元，支出总计1626万元，与2018年相比，收、支总计各减少399.02万元，降低19.7%。主要原因是检察机构改革后，根据办案业务情况，罚没收入安排减少</w:t>
      </w:r>
      <w:r>
        <w:rPr>
          <w:rFonts w:cs="Tahoma"/>
          <w:sz w:val="28"/>
          <w:szCs w:val="28"/>
        </w:rPr>
        <w:t>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二、收入预算说明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2019年收入预算1626万元，其中：部门预算结转0万元，财政拨款收入794.7万元，罚没收入661.3万元，纳入预算管理的行政事业性收费收入0万元，专项收入0万元，国有资源（资产）有偿使用收入0万元，捐赠收入、政府住房基金收入及其他收入0万元，政府性基金收入0万元，财政专户管理的资金收入0万元，中央省专项转移支付170万元，其他各项收入0万元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三、支出预算总体情况说明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2019年支出预算1626万元，其中：基本支出1008.8万元，占62%；项目支出617.2万元，占38%。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四、财政拨款收入支出预算总体情况说明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2019年一般公共预算收支预算1456万元。与 2018 年相比，一般公共预算收支预算减少371万元，降低20.3 %，降低的主要原因：检察机构改革后，根据办案业务情况，罚没收入安排减少,比2018年罚没收入减少443.6万元</w:t>
      </w:r>
      <w:r>
        <w:rPr>
          <w:rFonts w:cs="Tahoma"/>
          <w:sz w:val="28"/>
          <w:szCs w:val="28"/>
        </w:rPr>
        <w:t>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五、一般公共预算支出预算情况说明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color w:val="FF0000"/>
          <w:sz w:val="28"/>
          <w:szCs w:val="28"/>
        </w:rPr>
      </w:pPr>
      <w:r>
        <w:rPr>
          <w:rFonts w:hint="eastAsia" w:cs="Tahoma"/>
          <w:sz w:val="28"/>
          <w:szCs w:val="28"/>
        </w:rPr>
        <w:t>2019年一般公共预算支出年初预算为1456万元。主要用于以下方面：公共安全（类）支出</w:t>
      </w:r>
      <w:r>
        <w:rPr>
          <w:rFonts w:hint="eastAsia" w:cs="Tahoma"/>
          <w:sz w:val="28"/>
          <w:szCs w:val="28"/>
          <w:lang w:val="en-US" w:eastAsia="zh-CN"/>
        </w:rPr>
        <w:t>1287.4</w:t>
      </w:r>
      <w:r>
        <w:rPr>
          <w:rFonts w:hint="eastAsia" w:cs="Tahoma"/>
          <w:sz w:val="28"/>
          <w:szCs w:val="28"/>
        </w:rPr>
        <w:t>万元，占年初预算</w:t>
      </w:r>
      <w:r>
        <w:rPr>
          <w:rFonts w:hint="eastAsia" w:cs="Tahoma"/>
          <w:sz w:val="28"/>
          <w:szCs w:val="28"/>
          <w:lang w:val="en-US" w:eastAsia="zh-CN"/>
        </w:rPr>
        <w:t>88.42</w:t>
      </w:r>
      <w:r>
        <w:rPr>
          <w:rFonts w:hint="eastAsia" w:cs="Tahoma"/>
          <w:sz w:val="28"/>
          <w:szCs w:val="28"/>
        </w:rPr>
        <w:t xml:space="preserve">%；社会保障和就业支出 </w:t>
      </w:r>
      <w:r>
        <w:rPr>
          <w:rFonts w:hint="eastAsia" w:cs="Tahoma"/>
          <w:sz w:val="28"/>
          <w:szCs w:val="28"/>
          <w:lang w:val="en-US" w:eastAsia="zh-CN"/>
        </w:rPr>
        <w:t>117.94</w:t>
      </w:r>
      <w:r>
        <w:rPr>
          <w:rFonts w:hint="eastAsia" w:cs="Tahoma"/>
          <w:sz w:val="28"/>
          <w:szCs w:val="28"/>
        </w:rPr>
        <w:t>万元，占年初预算</w:t>
      </w:r>
      <w:r>
        <w:rPr>
          <w:rFonts w:hint="eastAsia" w:cs="Tahoma"/>
          <w:sz w:val="28"/>
          <w:szCs w:val="28"/>
          <w:lang w:val="en-US" w:eastAsia="zh-CN"/>
        </w:rPr>
        <w:t>8.1</w:t>
      </w:r>
      <w:r>
        <w:rPr>
          <w:rFonts w:hint="eastAsia" w:cs="Tahoma"/>
          <w:sz w:val="28"/>
          <w:szCs w:val="28"/>
        </w:rPr>
        <w:t>%；住房保障支出50.7万，占年初预算3.</w:t>
      </w:r>
      <w:r>
        <w:rPr>
          <w:rFonts w:hint="eastAsia" w:cs="Tahoma"/>
          <w:sz w:val="28"/>
          <w:szCs w:val="28"/>
          <w:lang w:val="en-US" w:eastAsia="zh-CN"/>
        </w:rPr>
        <w:t>48</w:t>
      </w:r>
      <w:r>
        <w:rPr>
          <w:rFonts w:hint="eastAsia" w:cs="Tahoma"/>
          <w:sz w:val="28"/>
          <w:szCs w:val="28"/>
        </w:rPr>
        <w:t>%。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六、一般公共预算基本支出预算情况说明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color w:val="FF0000"/>
          <w:sz w:val="28"/>
          <w:szCs w:val="28"/>
        </w:rPr>
      </w:pPr>
      <w:r>
        <w:rPr>
          <w:rFonts w:hint="eastAsia" w:cs="Tahoma"/>
          <w:sz w:val="28"/>
          <w:szCs w:val="28"/>
        </w:rPr>
        <w:t xml:space="preserve">2019年一般公共预算基本支出1456万元，其中：人员经费  </w:t>
      </w:r>
      <w:r>
        <w:rPr>
          <w:rFonts w:hint="eastAsia" w:cs="Tahoma"/>
          <w:sz w:val="28"/>
          <w:szCs w:val="28"/>
          <w:lang w:val="en-US" w:eastAsia="zh-CN"/>
        </w:rPr>
        <w:t>724.11</w:t>
      </w:r>
      <w:r>
        <w:rPr>
          <w:rFonts w:hint="eastAsia" w:cs="Tahoma"/>
          <w:sz w:val="28"/>
          <w:szCs w:val="28"/>
        </w:rPr>
        <w:t>万元，主要包括：基本工资、津贴补贴、奖金、</w:t>
      </w:r>
      <w:r>
        <w:rPr>
          <w:rFonts w:hint="eastAsia" w:cs="Tahoma"/>
          <w:sz w:val="28"/>
          <w:szCs w:val="28"/>
          <w:lang w:eastAsia="zh-CN"/>
        </w:rPr>
        <w:t>绩效工资、机关事业单位基本养老保险缴费、职工基本医疗保险缴费、其他</w:t>
      </w:r>
      <w:r>
        <w:rPr>
          <w:rFonts w:hint="eastAsia" w:cs="Tahoma"/>
          <w:sz w:val="28"/>
          <w:szCs w:val="28"/>
        </w:rPr>
        <w:t>社会保障缴费、住房公积金</w:t>
      </w:r>
      <w:r>
        <w:rPr>
          <w:rFonts w:hint="eastAsia" w:cs="Tahoma"/>
          <w:sz w:val="28"/>
          <w:szCs w:val="28"/>
          <w:lang w:eastAsia="zh-CN"/>
        </w:rPr>
        <w:t>、其他工资福利支出</w:t>
      </w:r>
      <w:r>
        <w:rPr>
          <w:rFonts w:hint="eastAsia" w:cs="Tahoma"/>
          <w:sz w:val="28"/>
          <w:szCs w:val="28"/>
        </w:rPr>
        <w:t>；公用经费</w:t>
      </w:r>
      <w:r>
        <w:rPr>
          <w:rFonts w:hint="eastAsia" w:cs="Tahoma"/>
          <w:sz w:val="28"/>
          <w:szCs w:val="28"/>
          <w:lang w:val="en-US" w:eastAsia="zh-CN"/>
        </w:rPr>
        <w:t>731.89</w:t>
      </w:r>
      <w:r>
        <w:rPr>
          <w:rFonts w:hint="eastAsia" w:cs="Tahoma"/>
          <w:sz w:val="28"/>
          <w:szCs w:val="28"/>
        </w:rPr>
        <w:t>万元，主要包括：办公费、印刷费、咨询费、手续费、水费、电费、邮电费、差旅费、维修（护）费、会议费、培训费、被装购置费</w:t>
      </w:r>
      <w:r>
        <w:rPr>
          <w:rFonts w:hint="eastAsia" w:cs="Tahoma"/>
          <w:sz w:val="28"/>
          <w:szCs w:val="28"/>
          <w:lang w:eastAsia="zh-CN"/>
        </w:rPr>
        <w:t>、</w:t>
      </w:r>
      <w:r>
        <w:rPr>
          <w:rFonts w:hint="eastAsia" w:cs="Tahoma"/>
          <w:sz w:val="28"/>
          <w:szCs w:val="28"/>
        </w:rPr>
        <w:t>劳务费、工会经费、福利费、  其他交通费用</w:t>
      </w:r>
      <w:r>
        <w:rPr>
          <w:rFonts w:hint="eastAsia" w:cs="Tahoma"/>
          <w:sz w:val="28"/>
          <w:szCs w:val="28"/>
          <w:lang w:eastAsia="zh-CN"/>
        </w:rPr>
        <w:t>、生活补助、奖励金、</w:t>
      </w:r>
      <w:r>
        <w:rPr>
          <w:rFonts w:hint="eastAsia" w:cs="Tahoma"/>
          <w:sz w:val="28"/>
          <w:szCs w:val="28"/>
        </w:rPr>
        <w:t>资本性支出</w:t>
      </w:r>
      <w:r>
        <w:rPr>
          <w:rFonts w:hint="eastAsia" w:cs="Tahoma"/>
          <w:sz w:val="28"/>
          <w:szCs w:val="28"/>
          <w:lang w:eastAsia="zh-CN"/>
        </w:rPr>
        <w:t>、信息网络及软件购置更新、其他支出</w:t>
      </w:r>
      <w:r>
        <w:rPr>
          <w:rFonts w:hint="eastAsia" w:cs="Tahoma"/>
          <w:sz w:val="28"/>
          <w:szCs w:val="28"/>
        </w:rPr>
        <w:t>等。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七、政府性基金预算支出情况说明</w:t>
      </w:r>
      <w:bookmarkStart w:id="0" w:name="_GoBack"/>
      <w:bookmarkEnd w:id="0"/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我单位2019年无政府性基金预算支出。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八、“三公”经费支出预算情况说明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2019年“三公”经费预算为105.15万元。2019年“三公”经费支出预算数比 2018年减少25.25万元。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具体支出情况如下：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（1）因公出国（境）费0万元，与2018年相比无变化。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（2）公务用车购置及运行费</w:t>
      </w:r>
      <w:r>
        <w:rPr>
          <w:rFonts w:hint="eastAsia" w:cs="Tahoma"/>
          <w:sz w:val="28"/>
          <w:szCs w:val="28"/>
          <w:lang w:val="en-US" w:eastAsia="zh-CN"/>
        </w:rPr>
        <w:t>105</w:t>
      </w:r>
      <w:r>
        <w:rPr>
          <w:rFonts w:hint="eastAsia" w:cs="Tahoma"/>
          <w:sz w:val="28"/>
          <w:szCs w:val="28"/>
        </w:rPr>
        <w:t>万元，其中，公务用车购置费0万元；公务用车运行维护费105万元，主要用于开展工作所需公务用车的燃料费、维修费、过路过桥费、保险费等支出。公务用车购置费预算数比2018年相比无变化。公务用车运行维护费相比2018年下降25万元。原因是：检察机构改革，办案自侦部门减少，办案业务量预计有所下降；</w:t>
      </w:r>
      <w:r>
        <w:rPr>
          <w:rFonts w:cs="Tahoma"/>
          <w:sz w:val="28"/>
          <w:szCs w:val="28"/>
        </w:rPr>
        <w:t>实行公车改革后，</w:t>
      </w:r>
      <w:r>
        <w:rPr>
          <w:rFonts w:hint="eastAsia" w:cs="Tahoma"/>
          <w:sz w:val="28"/>
          <w:szCs w:val="28"/>
        </w:rPr>
        <w:t>严格执行中央八项规定，</w:t>
      </w:r>
      <w:r>
        <w:rPr>
          <w:rFonts w:cs="Tahoma"/>
          <w:sz w:val="28"/>
          <w:szCs w:val="28"/>
        </w:rPr>
        <w:t>公务用车运行维护费下降。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（3）公务接待费0.</w:t>
      </w:r>
      <w:r>
        <w:rPr>
          <w:rFonts w:hint="eastAsia" w:cs="Tahoma"/>
          <w:sz w:val="28"/>
          <w:szCs w:val="28"/>
          <w:lang w:val="en-US" w:eastAsia="zh-CN"/>
        </w:rPr>
        <w:t>2</w:t>
      </w:r>
      <w:r>
        <w:rPr>
          <w:rFonts w:hint="eastAsia" w:cs="Tahoma"/>
          <w:sz w:val="28"/>
          <w:szCs w:val="28"/>
        </w:rPr>
        <w:t>万元。预算数与 2018年减少0.2万元。减少的主要原因是</w:t>
      </w:r>
      <w:r>
        <w:rPr>
          <w:rFonts w:cs="Tahoma"/>
          <w:sz w:val="28"/>
          <w:szCs w:val="28"/>
        </w:rPr>
        <w:t>严格执行</w:t>
      </w:r>
      <w:r>
        <w:rPr>
          <w:rFonts w:hint="eastAsia" w:cs="Tahoma"/>
          <w:sz w:val="28"/>
          <w:szCs w:val="28"/>
        </w:rPr>
        <w:t>中央</w:t>
      </w:r>
      <w:r>
        <w:rPr>
          <w:rFonts w:cs="Tahoma"/>
          <w:sz w:val="28"/>
          <w:szCs w:val="28"/>
        </w:rPr>
        <w:t>八项规定，</w:t>
      </w:r>
      <w:r>
        <w:rPr>
          <w:rFonts w:hint="eastAsia" w:cs="Tahoma"/>
          <w:sz w:val="28"/>
          <w:szCs w:val="28"/>
        </w:rPr>
        <w:t>减少</w:t>
      </w:r>
      <w:r>
        <w:rPr>
          <w:rFonts w:cs="Tahoma"/>
          <w:sz w:val="28"/>
          <w:szCs w:val="28"/>
        </w:rPr>
        <w:t>公务活动接待，</w:t>
      </w:r>
      <w:r>
        <w:rPr>
          <w:rFonts w:hint="eastAsia" w:cs="Tahoma"/>
          <w:sz w:val="28"/>
          <w:szCs w:val="28"/>
        </w:rPr>
        <w:t>严格按照标准接待，</w:t>
      </w:r>
      <w:r>
        <w:rPr>
          <w:rFonts w:cs="Tahoma"/>
          <w:sz w:val="28"/>
          <w:szCs w:val="28"/>
        </w:rPr>
        <w:t>接待任务减少</w:t>
      </w:r>
      <w:r>
        <w:rPr>
          <w:rFonts w:hint="eastAsia" w:cs="Tahoma"/>
          <w:sz w:val="28"/>
          <w:szCs w:val="28"/>
        </w:rPr>
        <w:t>。</w:t>
      </w:r>
    </w:p>
    <w:p>
      <w:pPr>
        <w:pStyle w:val="4"/>
        <w:snapToGrid w:val="0"/>
        <w:spacing w:before="0" w:beforeAutospacing="0" w:after="0" w:afterAutospacing="0" w:line="600" w:lineRule="exact"/>
        <w:ind w:firstLine="562" w:firstLineChars="200"/>
        <w:rPr>
          <w:rFonts w:cs="Tahoma"/>
          <w:b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九、其他重要事项的情况说明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（一）机关运行经费支出情况</w:t>
      </w:r>
    </w:p>
    <w:p>
      <w:pPr>
        <w:pStyle w:val="4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我单位2019年机关运行经费支出预算</w:t>
      </w:r>
      <w:r>
        <w:rPr>
          <w:rFonts w:hint="eastAsia" w:cs="Tahoma"/>
          <w:sz w:val="28"/>
          <w:szCs w:val="28"/>
          <w:lang w:val="en-US" w:eastAsia="zh-CN"/>
        </w:rPr>
        <w:t>731.89</w:t>
      </w:r>
      <w:r>
        <w:rPr>
          <w:rFonts w:hint="eastAsia" w:cs="Tahoma"/>
          <w:sz w:val="28"/>
          <w:szCs w:val="28"/>
        </w:rPr>
        <w:t>万元，主要保障机关人员工资发放、正常运转及正常履职需要。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（二）政府采购支出情况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我单位2019年政府采购预算安排0万元，其中：政府采购货物预算0万元、政府采购工程预算0万元、政府采购服务预算0万元。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（三）国有资本经营预算支出情况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我单位国有资本经营预算支出为0万元。</w:t>
      </w:r>
    </w:p>
    <w:p>
      <w:pPr>
        <w:pStyle w:val="4"/>
        <w:numPr>
          <w:ilvl w:val="0"/>
          <w:numId w:val="1"/>
        </w:numPr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重点项目预算的绩效目标等预算绩效情况说明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2018年，我单位共组织对0个项目进行了预算绩效评价，涉及资金0万元。2019年，我单位拟组织对1个项目进行预算绩效评价，涉及资金167万元，认真履行审查逮捕审查起诉职能，全力维护社会稳定；认真履行刑事诉讼监督职能，有力维护司法公正和法制权威；认真开展民事行政检察和公益诉讼工作，有效维护群众合法权益和社会公共利益；站位全局，认真履行法律监督主责主业；通过履行宪法和法律赋予的职责，推进各项检察工作健康发展。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b/>
          <w:color w:val="FF0000"/>
          <w:sz w:val="28"/>
          <w:szCs w:val="28"/>
        </w:rPr>
      </w:pPr>
      <w:r>
        <w:rPr>
          <w:rFonts w:hint="eastAsia" w:cs="Tahoma"/>
          <w:sz w:val="28"/>
          <w:szCs w:val="28"/>
        </w:rPr>
        <w:t>（五）国有资产占用情况</w:t>
      </w:r>
    </w:p>
    <w:p>
      <w:pPr>
        <w:ind w:firstLine="560" w:firstLineChars="200"/>
        <w:rPr>
          <w:rFonts w:ascii="宋体" w:hAnsi="宋体" w:cs="Tahoma"/>
          <w:kern w:val="0"/>
          <w:sz w:val="28"/>
          <w:szCs w:val="28"/>
        </w:rPr>
      </w:pPr>
      <w:r>
        <w:rPr>
          <w:rFonts w:ascii="宋体" w:hAnsi="宋体" w:cs="Tahoma"/>
          <w:kern w:val="0"/>
          <w:sz w:val="28"/>
          <w:szCs w:val="28"/>
        </w:rPr>
        <w:t>201</w:t>
      </w:r>
      <w:r>
        <w:rPr>
          <w:rFonts w:hint="eastAsia" w:ascii="宋体" w:hAnsi="宋体" w:cs="Tahoma"/>
          <w:kern w:val="0"/>
          <w:sz w:val="28"/>
          <w:szCs w:val="28"/>
        </w:rPr>
        <w:t>8</w:t>
      </w:r>
      <w:r>
        <w:rPr>
          <w:rFonts w:ascii="宋体" w:hAnsi="宋体" w:cs="Tahoma"/>
          <w:kern w:val="0"/>
          <w:sz w:val="28"/>
          <w:szCs w:val="28"/>
        </w:rPr>
        <w:t>年期末，我</w:t>
      </w:r>
      <w:r>
        <w:rPr>
          <w:rFonts w:hint="eastAsia" w:ascii="宋体" w:hAnsi="宋体" w:cs="Tahoma"/>
          <w:kern w:val="0"/>
          <w:sz w:val="28"/>
          <w:szCs w:val="28"/>
        </w:rPr>
        <w:t>单位</w:t>
      </w:r>
      <w:r>
        <w:rPr>
          <w:rFonts w:ascii="宋体" w:hAnsi="宋体" w:cs="Tahoma"/>
          <w:kern w:val="0"/>
          <w:sz w:val="28"/>
          <w:szCs w:val="28"/>
        </w:rPr>
        <w:t>共有车辆</w:t>
      </w:r>
      <w:r>
        <w:rPr>
          <w:rFonts w:hint="eastAsia" w:ascii="宋体" w:hAnsi="宋体" w:cs="Tahoma"/>
          <w:kern w:val="0"/>
          <w:sz w:val="28"/>
          <w:szCs w:val="28"/>
        </w:rPr>
        <w:t>15</w:t>
      </w:r>
      <w:r>
        <w:rPr>
          <w:rFonts w:ascii="宋体" w:hAnsi="宋体" w:cs="Tahoma"/>
          <w:kern w:val="0"/>
          <w:sz w:val="28"/>
          <w:szCs w:val="28"/>
        </w:rPr>
        <w:t>辆，其中：</w:t>
      </w:r>
      <w:r>
        <w:rPr>
          <w:rFonts w:hint="eastAsia" w:ascii="宋体" w:hAnsi="宋体" w:cs="Tahoma"/>
          <w:kern w:val="0"/>
          <w:sz w:val="28"/>
          <w:szCs w:val="28"/>
        </w:rPr>
        <w:t>一般公务用车1辆，一般执法执勤用车7辆，特种专业技术用车7辆。单位价值50万元以上通用设备3台（套），单位价值100万元以上专用设备0台（套）。</w:t>
      </w:r>
    </w:p>
    <w:p>
      <w:pPr>
        <w:pStyle w:val="4"/>
        <w:snapToGrid w:val="0"/>
        <w:spacing w:before="0" w:beforeAutospacing="0" w:after="0" w:afterAutospacing="0" w:line="600" w:lineRule="exact"/>
        <w:ind w:firstLine="560" w:firstLineChars="200"/>
        <w:rPr>
          <w:rFonts w:cs="Tahoma"/>
          <w:b/>
          <w:color w:val="FF0000"/>
          <w:sz w:val="28"/>
          <w:szCs w:val="28"/>
        </w:rPr>
      </w:pPr>
      <w:r>
        <w:rPr>
          <w:rFonts w:hint="eastAsia" w:cs="Tahoma"/>
          <w:sz w:val="28"/>
          <w:szCs w:val="28"/>
        </w:rPr>
        <w:t>（六）专项转移支付项目情况</w:t>
      </w:r>
    </w:p>
    <w:p>
      <w:pPr>
        <w:pStyle w:val="4"/>
        <w:snapToGrid w:val="0"/>
        <w:spacing w:before="0" w:beforeAutospacing="0" w:after="0" w:afterAutospacing="0" w:line="600" w:lineRule="exact"/>
        <w:ind w:left="105" w:leftChars="50" w:firstLine="420" w:firstLineChars="150"/>
        <w:rPr>
          <w:rFonts w:cs="Tahoma"/>
          <w:sz w:val="28"/>
          <w:szCs w:val="28"/>
        </w:rPr>
      </w:pPr>
      <w:r>
        <w:rPr>
          <w:rFonts w:hint="eastAsia" w:cs="Tahoma"/>
          <w:sz w:val="28"/>
          <w:szCs w:val="28"/>
        </w:rPr>
        <w:t>我单位负责管理的专项转移支付项目共有1项，主要是：中央（省级）政法转移支付专项资金167万；我单位将按照《预算法》等有关规定，积极做好项目资金使用工作。</w:t>
      </w:r>
    </w:p>
    <w:p>
      <w:pPr>
        <w:pStyle w:val="4"/>
        <w:spacing w:before="0" w:beforeAutospacing="0" w:after="0" w:afterAutospacing="0" w:line="560" w:lineRule="exact"/>
        <w:ind w:firstLine="3514" w:firstLineChars="1250"/>
        <w:jc w:val="both"/>
        <w:rPr>
          <w:rStyle w:val="7"/>
          <w:sz w:val="28"/>
          <w:szCs w:val="28"/>
        </w:rPr>
      </w:pPr>
      <w:r>
        <w:rPr>
          <w:rStyle w:val="7"/>
          <w:rFonts w:hint="eastAsia"/>
          <w:sz w:val="28"/>
          <w:szCs w:val="28"/>
        </w:rPr>
        <w:t>第三部分</w:t>
      </w:r>
    </w:p>
    <w:p>
      <w:pPr>
        <w:pStyle w:val="4"/>
        <w:spacing w:before="0" w:beforeAutospacing="0" w:after="0" w:afterAutospacing="0" w:line="560" w:lineRule="exact"/>
        <w:ind w:firstLine="3514" w:firstLineChars="1250"/>
        <w:rPr>
          <w:rStyle w:val="7"/>
          <w:rFonts w:ascii="黑体" w:hAnsi="黑体" w:eastAsia="黑体" w:cs="黑体"/>
          <w:color w:val="FF0000"/>
          <w:sz w:val="32"/>
          <w:szCs w:val="32"/>
        </w:rPr>
      </w:pPr>
      <w:r>
        <w:rPr>
          <w:rStyle w:val="7"/>
          <w:sz w:val="28"/>
          <w:szCs w:val="28"/>
        </w:rPr>
        <w:t>名词解释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一、财政拨款：指一般公共预算财政拨款和政府性基金预算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财政拨款。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 一般公共预算：包括公共财政拨款（补助）资金、专项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收入。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三、财政专户管理资金：包括专户管理行政事业性收费（主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要是教育收费）、其他非税收入。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四 、 其他资金：包括事业收入、经营收入、其他收入等。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五 、基本支出：指为保障机构正常运转、完成工作任务而发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生的人员支出和公用支出。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六 、项目支出：指在基本支出之外为完成特定工作任务和事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业发展目标所发生的支出。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七、“三公”经费：指部门用一般公共预算财政拨款安排的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因公出国（境）费、公务用车购置及运行费和公务接待费。其中，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因公出国（境）费反映单位公务出国（境）的住宿费、旅费、伙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食补助费、杂费、培训费等支出；公务用车购置及运行费反映单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位公务用车购置费、燃料费、维修费、过桥过路费、保险费、安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全奖励费用等支出；公务接待费反映单位按规定开支的各类公务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接待（含外宾接待）支出。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八 、机关运行经费：指行政单位（含参照公务员法管理的事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业单位）使用一般公共预算安排的基本支出中的日常公用经费支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出，包括办公及印刷费、邮电费、差旅费、会议费、福利费、日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常维修费、专用材料及一般设备购置费、办公用房水电费、办公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用房取暖费、办公用房物业管理费、公务用车运行维护费及其他</w:t>
      </w:r>
    </w:p>
    <w:p>
      <w:pPr>
        <w:widowControl/>
        <w:shd w:val="clear" w:color="auto" w:fill="FFFFFF"/>
        <w:spacing w:line="600" w:lineRule="exact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费用。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02B22"/>
    <w:multiLevelType w:val="singleLevel"/>
    <w:tmpl w:val="2D302B22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37FB0"/>
    <w:rsid w:val="00386627"/>
    <w:rsid w:val="00674C2F"/>
    <w:rsid w:val="007B6F69"/>
    <w:rsid w:val="008979C5"/>
    <w:rsid w:val="00B725C5"/>
    <w:rsid w:val="00BC7D4E"/>
    <w:rsid w:val="00D02AD9"/>
    <w:rsid w:val="00E7356C"/>
    <w:rsid w:val="064D46B6"/>
    <w:rsid w:val="0DBD76E4"/>
    <w:rsid w:val="10576F63"/>
    <w:rsid w:val="172D3739"/>
    <w:rsid w:val="1A805774"/>
    <w:rsid w:val="1CC609BF"/>
    <w:rsid w:val="1DE23F7F"/>
    <w:rsid w:val="1E7D5950"/>
    <w:rsid w:val="1EC731E4"/>
    <w:rsid w:val="21096CE5"/>
    <w:rsid w:val="21B5645F"/>
    <w:rsid w:val="24E90AC8"/>
    <w:rsid w:val="253B70BF"/>
    <w:rsid w:val="298A01B9"/>
    <w:rsid w:val="2A6279EE"/>
    <w:rsid w:val="2D847936"/>
    <w:rsid w:val="33366F9C"/>
    <w:rsid w:val="35F72F6A"/>
    <w:rsid w:val="3AB35659"/>
    <w:rsid w:val="3B34068F"/>
    <w:rsid w:val="3FEC0147"/>
    <w:rsid w:val="41BB1132"/>
    <w:rsid w:val="4FF36785"/>
    <w:rsid w:val="519023A8"/>
    <w:rsid w:val="55A86335"/>
    <w:rsid w:val="56907FEB"/>
    <w:rsid w:val="59B95B72"/>
    <w:rsid w:val="5D621EE2"/>
    <w:rsid w:val="6A9F43FA"/>
    <w:rsid w:val="6D520FF1"/>
    <w:rsid w:val="6FE72100"/>
    <w:rsid w:val="6FF85002"/>
    <w:rsid w:val="70F62459"/>
    <w:rsid w:val="71961313"/>
    <w:rsid w:val="72837FB0"/>
    <w:rsid w:val="79301DBB"/>
    <w:rsid w:val="7C3E46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9</Pages>
  <Words>571</Words>
  <Characters>3256</Characters>
  <Lines>27</Lines>
  <Paragraphs>7</Paragraphs>
  <TotalTime>0</TotalTime>
  <ScaleCrop>false</ScaleCrop>
  <LinksUpToDate>false</LinksUpToDate>
  <CharactersWithSpaces>3820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2019-01-21T06:28:00Z</dcterms:created>
  <dc:creator>霏雨涵</dc:creator>
  <cp:lastModifiedBy>Administrator</cp:lastModifiedBy>
  <dcterms:modified xsi:type="dcterms:W3CDTF">2021-06-07T02:42:44Z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27F6C9442B75482EB02B0BACF3AD1333</vt:lpwstr>
  </property>
</Properties>
</file>