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68" w:lineRule="auto"/>
      </w:pPr>
      <w:r>
        <w:rPr>
          <w:rFonts w:hint="eastAsia"/>
          <w:lang w:eastAsia="zh-CN"/>
        </w:rPr>
        <w:t>中国共产党舞阳县纪律检查委员会</w:t>
      </w:r>
      <w:r>
        <w:t xml:space="preserve"> 2019</w:t>
      </w:r>
      <w:r>
        <w:rPr>
          <w:spacing w:val="-16"/>
        </w:rPr>
        <w:t xml:space="preserve"> 年部门预算基本情况说明</w:t>
      </w:r>
      <w:r>
        <w:rPr>
          <w:spacing w:val="-10"/>
        </w:rPr>
        <w:t>目录</w:t>
      </w:r>
    </w:p>
    <w:p>
      <w:pPr>
        <w:pStyle w:val="3"/>
        <w:spacing w:before="81"/>
        <w:ind w:left="761"/>
      </w:pPr>
      <w:r>
        <w:t>第一部分 部门基本情况</w:t>
      </w:r>
    </w:p>
    <w:p>
      <w:pPr>
        <w:pStyle w:val="3"/>
        <w:spacing w:before="133" w:line="319" w:lineRule="auto"/>
        <w:ind w:left="761" w:right="3909"/>
      </w:pPr>
      <w:r>
        <w:t>一、部门机构设置、主要职能二、部门预算单位构成</w:t>
      </w:r>
    </w:p>
    <w:p>
      <w:pPr>
        <w:pStyle w:val="3"/>
        <w:spacing w:before="9"/>
        <w:ind w:left="761"/>
      </w:pPr>
      <w:r>
        <w:t>三、人员构成情况</w:t>
      </w:r>
    </w:p>
    <w:p>
      <w:pPr>
        <w:pStyle w:val="3"/>
        <w:spacing w:before="123" w:line="319" w:lineRule="auto"/>
        <w:ind w:left="758" w:right="424"/>
      </w:pPr>
      <w:r>
        <w:rPr>
          <w:spacing w:val="-5"/>
        </w:rPr>
        <w:t>第二部分</w:t>
      </w:r>
      <w:r>
        <w:rPr>
          <w:rFonts w:hint="eastAsia"/>
          <w:spacing w:val="-5"/>
          <w:lang w:eastAsia="zh-CN"/>
        </w:rPr>
        <w:t>中国共产党舞阳县纪律检查委员会</w:t>
      </w:r>
      <w:r>
        <w:rPr>
          <w:spacing w:val="-7"/>
        </w:rPr>
        <w:t>2019</w:t>
      </w:r>
      <w:r>
        <w:rPr>
          <w:spacing w:val="-20"/>
        </w:rPr>
        <w:t xml:space="preserve"> 年度部门预算</w:t>
      </w:r>
      <w:r>
        <w:t>情况说明</w:t>
      </w:r>
    </w:p>
    <w:p>
      <w:pPr>
        <w:pStyle w:val="3"/>
        <w:spacing w:before="6"/>
        <w:ind w:left="761"/>
      </w:pPr>
      <w:r>
        <w:t>第三部分 名词解释</w:t>
      </w:r>
    </w:p>
    <w:p>
      <w:pPr>
        <w:pStyle w:val="3"/>
        <w:spacing w:before="123" w:line="319" w:lineRule="auto"/>
        <w:ind w:left="761" w:right="4169"/>
      </w:pPr>
      <w:r>
        <w:t>附件：2019</w:t>
      </w:r>
      <w:r>
        <w:rPr>
          <w:spacing w:val="-17"/>
        </w:rPr>
        <w:t xml:space="preserve"> 年度部门预算表</w:t>
      </w:r>
      <w:r>
        <w:t>一、部门收支总体情况表 二、部门收入总体情况表 三、部门支出总体情况表</w:t>
      </w:r>
    </w:p>
    <w:p>
      <w:pPr>
        <w:pStyle w:val="3"/>
        <w:spacing w:before="5" w:line="319" w:lineRule="auto"/>
        <w:ind w:left="761" w:right="3909"/>
      </w:pPr>
      <w:r>
        <w:t>四、财政拨款收支总体情况表五、一般公共预算支出情况表</w:t>
      </w:r>
    </w:p>
    <w:p>
      <w:pPr>
        <w:pStyle w:val="3"/>
        <w:spacing w:before="7"/>
        <w:ind w:left="761"/>
      </w:pPr>
      <w:r>
        <w:t>六、一般公共预算基本支出情况表</w:t>
      </w:r>
    </w:p>
    <w:p>
      <w:pPr>
        <w:pStyle w:val="3"/>
        <w:spacing w:before="120" w:line="321" w:lineRule="auto"/>
        <w:ind w:left="761" w:right="1988"/>
      </w:pPr>
      <w:r>
        <w:t>七、一般公共预算“三公经费”支出情况表八、政府性基金预算支出情况表</w:t>
      </w:r>
    </w:p>
    <w:p>
      <w:pPr>
        <w:pStyle w:val="3"/>
        <w:spacing w:line="409" w:lineRule="exact"/>
        <w:ind w:left="761"/>
      </w:pPr>
      <w:r>
        <w:t>九、国有资本经营预算支出情况表</w:t>
      </w:r>
    </w:p>
    <w:p>
      <w:pPr>
        <w:spacing w:after="0" w:line="409" w:lineRule="exact"/>
        <w:sectPr>
          <w:footerReference r:id="rId3" w:type="default"/>
          <w:type w:val="continuous"/>
          <w:pgSz w:w="11920" w:h="16850"/>
          <w:pgMar w:top="1440" w:right="1400" w:bottom="1380" w:left="1680" w:header="720" w:footer="1188" w:gutter="0"/>
          <w:pgNumType w:start="1"/>
        </w:sectPr>
      </w:pPr>
    </w:p>
    <w:p>
      <w:pPr>
        <w:pStyle w:val="3"/>
        <w:ind w:left="0"/>
        <w:rPr>
          <w:sz w:val="20"/>
        </w:rPr>
      </w:pPr>
    </w:p>
    <w:p>
      <w:pPr>
        <w:pStyle w:val="2"/>
        <w:spacing w:before="223" w:line="319" w:lineRule="auto"/>
        <w:ind w:left="3310" w:right="3563" w:firstLine="321"/>
      </w:pPr>
      <w:r>
        <w:t>第一部分部门基本情况</w:t>
      </w:r>
    </w:p>
    <w:p>
      <w:pPr>
        <w:pStyle w:val="3"/>
        <w:ind w:left="0"/>
        <w:rPr>
          <w:b/>
        </w:rPr>
      </w:pPr>
    </w:p>
    <w:p>
      <w:pPr>
        <w:spacing w:before="222"/>
        <w:ind w:left="679" w:right="0" w:firstLine="0"/>
        <w:jc w:val="left"/>
        <w:rPr>
          <w:rFonts w:hint="eastAsia" w:ascii="宋体" w:eastAsia="宋体"/>
          <w:b/>
          <w:sz w:val="28"/>
        </w:rPr>
      </w:pPr>
      <w:r>
        <w:rPr>
          <w:rFonts w:hint="eastAsia" w:ascii="宋体" w:eastAsia="宋体"/>
          <w:b/>
          <w:sz w:val="28"/>
        </w:rPr>
        <w:t>一、部门机构设置、职能</w:t>
      </w:r>
    </w:p>
    <w:p>
      <w:pPr>
        <w:pStyle w:val="3"/>
        <w:spacing w:before="206" w:line="355" w:lineRule="auto"/>
        <w:ind w:right="284" w:firstLine="1120"/>
      </w:pPr>
      <w:r>
        <w:rPr>
          <w:rFonts w:hint="eastAsia"/>
          <w:spacing w:val="-11"/>
          <w:lang w:eastAsia="zh-CN"/>
        </w:rPr>
        <w:t>中国共产党舞阳县纪律检查委员会</w:t>
      </w:r>
      <w:r>
        <w:rPr>
          <w:spacing w:val="-11"/>
        </w:rPr>
        <w:t xml:space="preserve">机关设 </w:t>
      </w:r>
      <w:r>
        <w:t>12</w:t>
      </w:r>
      <w:r>
        <w:rPr>
          <w:spacing w:val="-24"/>
        </w:rPr>
        <w:t xml:space="preserve"> 个内设机构，分别为办公室、</w:t>
      </w:r>
      <w:r>
        <w:rPr>
          <w:spacing w:val="-3"/>
        </w:rPr>
        <w:t>组织部、宣传部、党风政风监督室、信访室、案件监督管理室、案件审理室、纪检监察干部监督室、第一至第四纪检监察室。</w:t>
      </w:r>
    </w:p>
    <w:p>
      <w:pPr>
        <w:pStyle w:val="3"/>
        <w:spacing w:line="410" w:lineRule="exact"/>
        <w:ind w:left="761"/>
        <w:rPr>
          <w:rFonts w:hint="eastAsia" w:ascii="宋体" w:eastAsia="宋体"/>
        </w:rPr>
      </w:pPr>
      <w:r>
        <w:rPr>
          <w:rFonts w:hint="eastAsia" w:ascii="宋体" w:eastAsia="宋体"/>
        </w:rPr>
        <w:t>主要承担以下职能：</w:t>
      </w:r>
    </w:p>
    <w:p>
      <w:pPr>
        <w:pStyle w:val="3"/>
        <w:spacing w:before="39" w:line="369" w:lineRule="auto"/>
        <w:ind w:right="390" w:firstLine="640"/>
      </w:pPr>
      <w:r>
        <w:rPr>
          <w:spacing w:val="6"/>
        </w:rPr>
        <w:t>1、负责贯彻落实党中央、中央纪委、省委、省纪委和</w:t>
      </w:r>
      <w:r>
        <w:rPr>
          <w:spacing w:val="-5"/>
        </w:rPr>
        <w:t>市委、县委关于加强党风廉政建设的决定，实施党章规定范围内的监督，维护党的章程和党内法规，检查党的路线、方针、政策和决议的执行情况，重点检查监督乡科级党员领导</w:t>
      </w:r>
      <w:r>
        <w:rPr>
          <w:spacing w:val="-15"/>
        </w:rPr>
        <w:t>干部执行党的路线、方针、政策情况及思想作风方面的问题； 负责反腐败的组织协调工作，协助县委抓好党风廉政建设。</w:t>
      </w:r>
    </w:p>
    <w:p>
      <w:pPr>
        <w:pStyle w:val="3"/>
        <w:spacing w:line="369" w:lineRule="auto"/>
        <w:ind w:right="453" w:firstLine="482"/>
        <w:jc w:val="both"/>
      </w:pPr>
      <w:r>
        <w:rPr>
          <w:w w:val="95"/>
        </w:rPr>
        <w:t>2</w:t>
      </w:r>
      <w:r>
        <w:rPr>
          <w:spacing w:val="-17"/>
          <w:w w:val="95"/>
        </w:rPr>
        <w:t xml:space="preserve">、负责贯彻落实党中央、国务院、省委、省政府和市委、 </w:t>
      </w:r>
      <w:r>
        <w:rPr>
          <w:spacing w:val="-3"/>
        </w:rPr>
        <w:t>市政府、县委、县政府有关行政监察工作的决定，重点监督</w:t>
      </w:r>
      <w:r>
        <w:rPr>
          <w:spacing w:val="-5"/>
        </w:rPr>
        <w:t>检查县政府各部门及国家公务人员、各乡镇政府及其领导人员，国家公务员，县政府直属企事业单位及其由国家行政机</w:t>
      </w:r>
      <w:r>
        <w:rPr>
          <w:spacing w:val="-8"/>
        </w:rPr>
        <w:t>关任命的领导干部执行国家和省市的政策，法律法规以及国务院、省政府、市政府、县政府的决定和命令的情况。</w:t>
      </w:r>
    </w:p>
    <w:p>
      <w:pPr>
        <w:pStyle w:val="3"/>
        <w:spacing w:line="400" w:lineRule="exact"/>
        <w:ind w:left="761"/>
      </w:pPr>
      <w:r>
        <w:t>3、负责检查处理县委和县政府各部门、各乡镇党的组</w:t>
      </w:r>
    </w:p>
    <w:p>
      <w:pPr>
        <w:spacing w:after="0" w:line="400" w:lineRule="exact"/>
        <w:sectPr>
          <w:pgSz w:w="11920" w:h="16850"/>
          <w:pgMar w:top="1600" w:right="1400" w:bottom="1380" w:left="1680" w:header="0" w:footer="1188" w:gutter="0"/>
        </w:sectPr>
      </w:pPr>
    </w:p>
    <w:p>
      <w:pPr>
        <w:pStyle w:val="3"/>
        <w:spacing w:before="24" w:line="369" w:lineRule="auto"/>
        <w:ind w:right="393"/>
        <w:jc w:val="both"/>
      </w:pPr>
      <w:r>
        <w:t>织、县委管理的党员领导干部违反党的章程及党内法规的案件，决定或取消对这些案件中党员的处分；受理党员的控告和申诉；必要时直接查处下级党的纪律检查机关管辖范围内比较重要或复杂的案件。</w:t>
      </w:r>
    </w:p>
    <w:p>
      <w:pPr>
        <w:pStyle w:val="3"/>
        <w:spacing w:line="369" w:lineRule="auto"/>
        <w:ind w:right="379" w:firstLine="640"/>
        <w:jc w:val="both"/>
      </w:pPr>
      <w:r>
        <w:rPr>
          <w:spacing w:val="25"/>
          <w:w w:val="90"/>
        </w:rPr>
        <w:t>4</w:t>
      </w:r>
      <w:r>
        <w:rPr>
          <w:spacing w:val="23"/>
          <w:w w:val="90"/>
        </w:rPr>
        <w:t xml:space="preserve">、负责调查处理县政府各部门及其国家公务员、各乡 </w:t>
      </w:r>
      <w:r>
        <w:rPr>
          <w:spacing w:val="23"/>
        </w:rPr>
        <w:t>镇人民政府及其领导人员、国家公务员、县政府直属事业、企业单位中由国家行政机关任命的领导干部违反国家政策、法律法规以及违反政纪的行为，并根据责任人所犯错误的情</w:t>
      </w:r>
      <w:r>
        <w:rPr>
          <w:spacing w:val="21"/>
        </w:rPr>
        <w:t>节轻重，作出相应处分或提出处理建议，报上级领导机关审</w:t>
      </w:r>
      <w:r>
        <w:t>批（对涉及选举产生的领导干部按法定程序办理）</w:t>
      </w:r>
      <w:r>
        <w:rPr>
          <w:spacing w:val="-4"/>
        </w:rPr>
        <w:t>；受理监</w:t>
      </w:r>
      <w:r>
        <w:t>察对象不服政纪处分的申诉，受理个人或单位对监察对象违</w:t>
      </w:r>
      <w:r>
        <w:rPr>
          <w:spacing w:val="-3"/>
        </w:rPr>
        <w:t>纪行为的检举、控告；保护监察对象的合法权益。</w:t>
      </w:r>
    </w:p>
    <w:p>
      <w:pPr>
        <w:pStyle w:val="3"/>
        <w:spacing w:line="395" w:lineRule="exact"/>
        <w:ind w:left="761"/>
      </w:pPr>
      <w:r>
        <w:t>5、负责对党的纪律检查工作政策、理论及有关问题进</w:t>
      </w:r>
    </w:p>
    <w:p>
      <w:pPr>
        <w:pStyle w:val="3"/>
        <w:spacing w:before="211"/>
      </w:pPr>
      <w:r>
        <w:t>行调查研究，拟定全县地方性政策规定。</w:t>
      </w:r>
    </w:p>
    <w:p>
      <w:pPr>
        <w:pStyle w:val="3"/>
        <w:spacing w:before="223"/>
        <w:ind w:left="761"/>
      </w:pPr>
      <w:r>
        <w:t>6、承办县委、县政府交办的其他事项。</w:t>
      </w:r>
    </w:p>
    <w:p>
      <w:pPr>
        <w:pStyle w:val="3"/>
        <w:spacing w:before="6"/>
        <w:ind w:left="0"/>
        <w:rPr>
          <w:sz w:val="31"/>
        </w:rPr>
      </w:pPr>
    </w:p>
    <w:p>
      <w:pPr>
        <w:spacing w:before="0"/>
        <w:ind w:left="681" w:right="0" w:firstLine="0"/>
        <w:jc w:val="left"/>
        <w:rPr>
          <w:rFonts w:hint="eastAsia" w:ascii="宋体" w:eastAsia="宋体"/>
          <w:b/>
          <w:sz w:val="28"/>
        </w:rPr>
      </w:pPr>
      <w:r>
        <w:rPr>
          <w:rFonts w:hint="eastAsia" w:ascii="宋体" w:eastAsia="宋体"/>
          <w:b/>
          <w:sz w:val="28"/>
        </w:rPr>
        <w:t>二、部门预算单位构成</w:t>
      </w:r>
    </w:p>
    <w:p>
      <w:pPr>
        <w:pStyle w:val="3"/>
        <w:spacing w:before="159" w:line="319" w:lineRule="auto"/>
        <w:ind w:right="232" w:firstLine="559"/>
      </w:pPr>
      <w:r>
        <w:rPr>
          <w:rFonts w:hint="eastAsia"/>
          <w:lang w:eastAsia="zh-CN"/>
        </w:rPr>
        <w:t>中国共产党舞阳县纪律检查委员会</w:t>
      </w:r>
      <w:r>
        <w:t>作为一级预算单位，部门预</w:t>
      </w:r>
      <w:r>
        <w:rPr>
          <w:spacing w:val="-5"/>
          <w:w w:val="95"/>
        </w:rPr>
        <w:t>算包含本级预算和所属单位预算在内的汇总预算</w:t>
      </w:r>
      <w:r>
        <w:rPr>
          <w:w w:val="95"/>
        </w:rPr>
        <w:t>（</w:t>
      </w:r>
      <w:r>
        <w:rPr>
          <w:spacing w:val="1"/>
          <w:w w:val="95"/>
        </w:rPr>
        <w:t>监察委</w:t>
      </w:r>
      <w:r>
        <w:rPr>
          <w:spacing w:val="-84"/>
          <w:w w:val="95"/>
        </w:rPr>
        <w:t>）</w:t>
      </w:r>
      <w:r>
        <w:rPr>
          <w:w w:val="95"/>
        </w:rPr>
        <w:t>。</w:t>
      </w:r>
    </w:p>
    <w:p>
      <w:pPr>
        <w:spacing w:before="89"/>
        <w:ind w:left="681" w:right="0" w:firstLine="0"/>
        <w:jc w:val="left"/>
        <w:rPr>
          <w:rFonts w:hint="eastAsia" w:ascii="宋体" w:eastAsia="宋体"/>
          <w:b/>
          <w:sz w:val="28"/>
        </w:rPr>
      </w:pPr>
      <w:r>
        <w:rPr>
          <w:rFonts w:hint="eastAsia" w:ascii="宋体" w:eastAsia="宋体"/>
          <w:b/>
          <w:sz w:val="28"/>
        </w:rPr>
        <w:t>三、人员构成情况</w:t>
      </w:r>
    </w:p>
    <w:p>
      <w:pPr>
        <w:pStyle w:val="3"/>
        <w:spacing w:before="156" w:line="319" w:lineRule="auto"/>
        <w:ind w:right="415" w:firstLine="559"/>
      </w:pPr>
      <w:r>
        <w:rPr>
          <w:rFonts w:hint="eastAsia"/>
          <w:lang w:eastAsia="zh-CN"/>
        </w:rPr>
        <w:t>中国共产党舞阳县纪律检查委员会</w:t>
      </w:r>
      <w:r>
        <w:rPr>
          <w:spacing w:val="-17"/>
        </w:rPr>
        <w:t xml:space="preserve">在职人员 </w:t>
      </w:r>
      <w:r>
        <w:t>48</w:t>
      </w:r>
      <w:r>
        <w:rPr>
          <w:spacing w:val="-25"/>
        </w:rPr>
        <w:t xml:space="preserve"> 人，退休人员 </w:t>
      </w:r>
      <w:r>
        <w:rPr>
          <w:spacing w:val="-12"/>
        </w:rPr>
        <w:t xml:space="preserve">9 </w:t>
      </w:r>
      <w:r>
        <w:t>人。</w:t>
      </w:r>
    </w:p>
    <w:p>
      <w:pPr>
        <w:spacing w:after="0" w:line="319" w:lineRule="auto"/>
        <w:sectPr>
          <w:pgSz w:w="11920" w:h="16850"/>
          <w:pgMar w:top="1400" w:right="1400" w:bottom="1380" w:left="1680" w:header="0" w:footer="1188" w:gutter="0"/>
        </w:sectPr>
      </w:pPr>
    </w:p>
    <w:p>
      <w:pPr>
        <w:spacing w:before="40"/>
        <w:ind w:left="2397" w:right="2821" w:firstLine="0"/>
        <w:jc w:val="center"/>
        <w:rPr>
          <w:rFonts w:hint="eastAsia" w:ascii="宋体" w:eastAsia="宋体"/>
          <w:b/>
          <w:sz w:val="28"/>
        </w:rPr>
      </w:pPr>
      <w:r>
        <w:rPr>
          <w:rFonts w:hint="eastAsia" w:ascii="宋体" w:eastAsia="宋体"/>
          <w:b/>
          <w:sz w:val="28"/>
        </w:rPr>
        <w:t>第二部分</w:t>
      </w:r>
    </w:p>
    <w:p>
      <w:pPr>
        <w:spacing w:before="246"/>
        <w:ind w:left="2461" w:right="2821" w:firstLine="0"/>
        <w:jc w:val="center"/>
        <w:rPr>
          <w:rFonts w:hint="eastAsia" w:ascii="宋体" w:eastAsia="宋体"/>
          <w:b/>
          <w:sz w:val="28"/>
        </w:rPr>
      </w:pPr>
      <w:r>
        <w:rPr>
          <w:rFonts w:hint="eastAsia" w:ascii="宋体" w:eastAsia="宋体"/>
          <w:b/>
          <w:sz w:val="28"/>
        </w:rPr>
        <w:t>2019 年度部门预算情况说明</w:t>
      </w:r>
    </w:p>
    <w:p>
      <w:pPr>
        <w:pStyle w:val="3"/>
        <w:spacing w:before="50" w:line="367" w:lineRule="auto"/>
        <w:ind w:right="391" w:firstLine="643"/>
        <w:jc w:val="both"/>
      </w:pPr>
      <w:r>
        <w:rPr>
          <w:b/>
        </w:rPr>
        <w:t>2019</w:t>
      </w:r>
      <w:r>
        <w:rPr>
          <w:b/>
          <w:spacing w:val="-6"/>
        </w:rPr>
        <w:t xml:space="preserve"> 年部门预算主要任务是:</w:t>
      </w:r>
      <w:r>
        <w:t>负责贯彻落实党中央、中</w:t>
      </w:r>
      <w:r>
        <w:rPr>
          <w:spacing w:val="-1"/>
        </w:rPr>
        <w:t>央纪委、省委、省纪委和市委、县委关于加强党风廉政建设的决定，实施党章规定范围内的监督，维护党的章程和党内法规，检查党的路线、方针、政策和决议的执行情况，重点检查监督乡科级党员领导干部执行党的路线、方针、政策情况及思想作风方面的问题；负责反腐败的组织协调工作，协</w:t>
      </w:r>
      <w:r>
        <w:t>助县委抓好党风廉政建设等工作。</w:t>
      </w:r>
    </w:p>
    <w:p>
      <w:pPr>
        <w:pStyle w:val="2"/>
        <w:spacing w:before="122"/>
        <w:ind w:left="441"/>
      </w:pPr>
      <w:r>
        <w:t>（一）收入支出预算总体情况说明</w:t>
      </w:r>
    </w:p>
    <w:p>
      <w:pPr>
        <w:pStyle w:val="3"/>
        <w:spacing w:before="135"/>
        <w:ind w:left="761"/>
        <w:jc w:val="both"/>
      </w:pPr>
      <w:r>
        <w:t>2019</w:t>
      </w:r>
      <w:r>
        <w:rPr>
          <w:spacing w:val="-27"/>
        </w:rPr>
        <w:t xml:space="preserve"> 年收入总计 </w:t>
      </w:r>
      <w:r>
        <w:t>1421.3</w:t>
      </w:r>
      <w:r>
        <w:rPr>
          <w:spacing w:val="-23"/>
        </w:rPr>
        <w:t xml:space="preserve"> 万元，支出总计 </w:t>
      </w:r>
      <w:r>
        <w:t>1421.3</w:t>
      </w:r>
      <w:r>
        <w:rPr>
          <w:spacing w:val="-17"/>
        </w:rPr>
        <w:t xml:space="preserve"> 万元，</w:t>
      </w:r>
    </w:p>
    <w:p>
      <w:pPr>
        <w:pStyle w:val="3"/>
        <w:spacing w:before="132" w:line="319" w:lineRule="auto"/>
        <w:ind w:right="301"/>
        <w:jc w:val="both"/>
      </w:pPr>
      <w:r>
        <w:rPr>
          <w:spacing w:val="-31"/>
        </w:rPr>
        <w:t xml:space="preserve">与 </w:t>
      </w:r>
      <w:r>
        <w:t>2018</w:t>
      </w:r>
      <w:r>
        <w:rPr>
          <w:spacing w:val="-15"/>
        </w:rPr>
        <w:t xml:space="preserve"> 年相比，收、支总计各增加 </w:t>
      </w:r>
      <w:r>
        <w:t>188</w:t>
      </w:r>
      <w:r>
        <w:rPr>
          <w:spacing w:val="-23"/>
        </w:rPr>
        <w:t xml:space="preserve"> 万元，增长 </w:t>
      </w:r>
      <w:r>
        <w:t>13.2%。增长主要原因是：人员增加、工资标准提高、人员经费上涨</w:t>
      </w:r>
      <w:r>
        <w:rPr>
          <w:spacing w:val="-3"/>
        </w:rPr>
        <w:t>及办案经费增加等因素。</w:t>
      </w:r>
    </w:p>
    <w:p>
      <w:pPr>
        <w:pStyle w:val="2"/>
      </w:pPr>
      <w:r>
        <w:t>（二）收入预算说明</w:t>
      </w:r>
    </w:p>
    <w:p>
      <w:pPr>
        <w:pStyle w:val="3"/>
        <w:spacing w:before="126"/>
        <w:ind w:left="761"/>
      </w:pPr>
      <w:r>
        <w:t>2019 年收入预算 1421.3 万元，其中：2019 年部门预算</w:t>
      </w:r>
    </w:p>
    <w:p>
      <w:pPr>
        <w:pStyle w:val="3"/>
        <w:spacing w:before="134"/>
      </w:pPr>
      <w:r>
        <w:rPr>
          <w:spacing w:val="-28"/>
        </w:rPr>
        <w:t xml:space="preserve">结转 </w:t>
      </w:r>
      <w:r>
        <w:t>0</w:t>
      </w:r>
      <w:r>
        <w:rPr>
          <w:spacing w:val="-28"/>
        </w:rPr>
        <w:t xml:space="preserve"> 万元，财政拨款收入 </w:t>
      </w:r>
      <w:r>
        <w:rPr>
          <w:rFonts w:hint="eastAsia"/>
          <w:lang w:val="en-US" w:eastAsia="zh-CN"/>
        </w:rPr>
        <w:t>1371.35</w:t>
      </w:r>
      <w:r>
        <w:rPr>
          <w:spacing w:val="-30"/>
        </w:rPr>
        <w:t xml:space="preserve"> 万元，罚没收入 </w:t>
      </w:r>
      <w:r>
        <w:t>50</w:t>
      </w:r>
      <w:r>
        <w:rPr>
          <w:spacing w:val="-22"/>
        </w:rPr>
        <w:t xml:space="preserve"> 万元，</w:t>
      </w:r>
    </w:p>
    <w:p>
      <w:pPr>
        <w:pStyle w:val="3"/>
        <w:spacing w:before="136"/>
      </w:pPr>
      <w:r>
        <w:rPr>
          <w:spacing w:val="-6"/>
        </w:rPr>
        <w:t xml:space="preserve">纳入预算管理的行政事业性收费收入 </w:t>
      </w:r>
      <w:r>
        <w:t>0</w:t>
      </w:r>
      <w:r>
        <w:rPr>
          <w:spacing w:val="-24"/>
        </w:rPr>
        <w:t xml:space="preserve"> 万元，专项收入 </w:t>
      </w:r>
      <w:r>
        <w:t>0</w:t>
      </w:r>
      <w:r>
        <w:rPr>
          <w:spacing w:val="-23"/>
        </w:rPr>
        <w:t xml:space="preserve"> 万</w:t>
      </w:r>
    </w:p>
    <w:p>
      <w:pPr>
        <w:pStyle w:val="3"/>
        <w:spacing w:before="135" w:line="319" w:lineRule="auto"/>
        <w:ind w:right="268"/>
      </w:pPr>
      <w:r>
        <w:rPr>
          <w:spacing w:val="-3"/>
        </w:rPr>
        <w:t>元，国有资源</w:t>
      </w:r>
      <w:r>
        <w:t>（资产</w:t>
      </w:r>
      <w:r>
        <w:rPr>
          <w:spacing w:val="-3"/>
        </w:rPr>
        <w:t>）</w:t>
      </w:r>
      <w:r>
        <w:rPr>
          <w:spacing w:val="-14"/>
        </w:rPr>
        <w:t xml:space="preserve">有偿使用收入 </w:t>
      </w:r>
      <w:r>
        <w:t>0</w:t>
      </w:r>
      <w:r>
        <w:rPr>
          <w:spacing w:val="-12"/>
        </w:rPr>
        <w:t xml:space="preserve"> 万元，捐赠收入、政</w:t>
      </w:r>
      <w:r>
        <w:rPr>
          <w:spacing w:val="4"/>
        </w:rPr>
        <w:t>府住房基金收入及其他收入</w:t>
      </w:r>
      <w:r>
        <w:t>0</w:t>
      </w:r>
      <w:r>
        <w:rPr>
          <w:spacing w:val="-25"/>
        </w:rPr>
        <w:t xml:space="preserve"> 万元，政府性基金收入</w:t>
      </w:r>
      <w:r>
        <w:t>0</w:t>
      </w:r>
      <w:r>
        <w:rPr>
          <w:spacing w:val="-5"/>
        </w:rPr>
        <w:t xml:space="preserve"> 万元， </w:t>
      </w:r>
      <w:r>
        <w:rPr>
          <w:spacing w:val="-9"/>
        </w:rPr>
        <w:t xml:space="preserve">财政专户管理的资金收入 </w:t>
      </w:r>
      <w:r>
        <w:t>0</w:t>
      </w:r>
      <w:r>
        <w:rPr>
          <w:spacing w:val="-19"/>
        </w:rPr>
        <w:t xml:space="preserve"> 万元，中央省专项转移支付 </w:t>
      </w:r>
      <w:r>
        <w:t>0</w:t>
      </w:r>
      <w:r>
        <w:rPr>
          <w:spacing w:val="-23"/>
        </w:rPr>
        <w:t xml:space="preserve"> 万</w:t>
      </w:r>
    </w:p>
    <w:p>
      <w:pPr>
        <w:pStyle w:val="3"/>
        <w:spacing w:line="409" w:lineRule="exact"/>
      </w:pPr>
      <w:r>
        <w:t>元，其他各项收入 0 万元。</w:t>
      </w:r>
    </w:p>
    <w:p>
      <w:pPr>
        <w:pStyle w:val="2"/>
        <w:spacing w:before="137"/>
      </w:pPr>
      <w:r>
        <w:t>（三）支出预算总体情况说明</w:t>
      </w:r>
    </w:p>
    <w:p>
      <w:pPr>
        <w:pStyle w:val="3"/>
        <w:spacing w:before="135"/>
        <w:ind w:left="761"/>
      </w:pPr>
      <w:r>
        <w:t>2019 年支出预算 1421.3 万元，其中：基本支出 777.7</w:t>
      </w:r>
    </w:p>
    <w:p>
      <w:pPr>
        <w:spacing w:after="0"/>
        <w:sectPr>
          <w:pgSz w:w="11920" w:h="16850"/>
          <w:pgMar w:top="1580" w:right="1400" w:bottom="1380" w:left="1680" w:header="0" w:footer="1188" w:gutter="0"/>
        </w:sectPr>
      </w:pPr>
    </w:p>
    <w:p>
      <w:pPr>
        <w:pStyle w:val="3"/>
        <w:spacing w:before="34"/>
      </w:pPr>
      <w:r>
        <w:t>万元，占 54.7%；项目支出 643.6 万元，占 45.3%。</w:t>
      </w:r>
    </w:p>
    <w:p>
      <w:pPr>
        <w:pStyle w:val="2"/>
        <w:spacing w:before="135"/>
      </w:pPr>
      <w:r>
        <w:t>（四）财政拨款收入支出预算总体情况说明</w:t>
      </w:r>
    </w:p>
    <w:p>
      <w:pPr>
        <w:pStyle w:val="3"/>
        <w:spacing w:before="133" w:line="319" w:lineRule="auto"/>
        <w:ind w:right="337" w:firstLine="640"/>
      </w:pPr>
      <w:r>
        <w:t>2019</w:t>
      </w:r>
      <w:r>
        <w:rPr>
          <w:spacing w:val="-11"/>
        </w:rPr>
        <w:t xml:space="preserve"> 年一般公共预算收支预算</w:t>
      </w:r>
      <w:r>
        <w:t>1421.3</w:t>
      </w:r>
      <w:r>
        <w:rPr>
          <w:spacing w:val="-49"/>
        </w:rPr>
        <w:t xml:space="preserve"> 万元。与 </w:t>
      </w:r>
      <w:r>
        <w:t>2018</w:t>
      </w:r>
      <w:r>
        <w:rPr>
          <w:spacing w:val="-4"/>
        </w:rPr>
        <w:t xml:space="preserve"> 年</w:t>
      </w:r>
      <w:r>
        <w:rPr>
          <w:spacing w:val="-15"/>
        </w:rPr>
        <w:t xml:space="preserve">相比，一般公共预算收支预算各增加 </w:t>
      </w:r>
      <w:r>
        <w:t>188</w:t>
      </w:r>
      <w:r>
        <w:rPr>
          <w:spacing w:val="-36"/>
        </w:rPr>
        <w:t xml:space="preserve"> 万元，增长 </w:t>
      </w:r>
      <w:r>
        <w:t xml:space="preserve">13.2%， </w:t>
      </w:r>
      <w:r>
        <w:rPr>
          <w:spacing w:val="-3"/>
        </w:rPr>
        <w:t>增长的主要原因：人员增加、工资标准提高、人员经费上涨及办案经费增加等因素。</w:t>
      </w:r>
    </w:p>
    <w:p>
      <w:pPr>
        <w:pStyle w:val="2"/>
        <w:spacing w:before="10"/>
        <w:ind w:left="763"/>
      </w:pPr>
      <w:r>
        <w:t>（五）一般公共预算支出预算情况说明</w:t>
      </w:r>
    </w:p>
    <w:p>
      <w:pPr>
        <w:pStyle w:val="3"/>
        <w:spacing w:before="123"/>
        <w:ind w:left="761"/>
      </w:pPr>
      <w:r>
        <w:t>2019 年一般公共预算支出年初预算为 1421.3 万元。主</w:t>
      </w:r>
    </w:p>
    <w:p>
      <w:pPr>
        <w:pStyle w:val="3"/>
        <w:spacing w:before="133" w:line="319" w:lineRule="auto"/>
        <w:ind w:right="326"/>
      </w:pPr>
      <w:r>
        <w:t>要用于以下方面：行政运行（类）</w:t>
      </w:r>
      <w:r>
        <w:rPr>
          <w:spacing w:val="-4"/>
        </w:rPr>
        <w:t xml:space="preserve">支出 </w:t>
      </w:r>
      <w:r>
        <w:t>1343</w:t>
      </w:r>
      <w:r>
        <w:rPr>
          <w:spacing w:val="-6"/>
        </w:rPr>
        <w:t xml:space="preserve"> 万元，占年初</w:t>
      </w:r>
      <w:r>
        <w:rPr>
          <w:spacing w:val="27"/>
          <w:w w:val="95"/>
        </w:rPr>
        <w:t>预算</w:t>
      </w:r>
      <w:r>
        <w:rPr>
          <w:spacing w:val="-5"/>
          <w:w w:val="95"/>
        </w:rPr>
        <w:t>94.5</w:t>
      </w:r>
      <w:r>
        <w:rPr>
          <w:spacing w:val="-10"/>
          <w:w w:val="95"/>
        </w:rPr>
        <w:t>%；机关事业单位基本养老保险缴费支出</w:t>
      </w:r>
      <w:r>
        <w:rPr>
          <w:w w:val="95"/>
        </w:rPr>
        <w:t xml:space="preserve">41.3 万元， </w:t>
      </w:r>
      <w:r>
        <w:rPr>
          <w:spacing w:val="9"/>
          <w:w w:val="95"/>
        </w:rPr>
        <w:t>占年初预算</w:t>
      </w:r>
      <w:r>
        <w:rPr>
          <w:spacing w:val="-5"/>
          <w:w w:val="95"/>
        </w:rPr>
        <w:t>2.9</w:t>
      </w:r>
      <w:r>
        <w:rPr>
          <w:spacing w:val="-10"/>
          <w:w w:val="95"/>
        </w:rPr>
        <w:t>%；财政对失业保险基金的补助支出</w:t>
      </w:r>
      <w:r>
        <w:rPr>
          <w:w w:val="95"/>
        </w:rPr>
        <w:t>0.4</w:t>
      </w:r>
      <w:r>
        <w:rPr>
          <w:spacing w:val="-5"/>
          <w:w w:val="95"/>
        </w:rPr>
        <w:t xml:space="preserve"> 万元， </w:t>
      </w:r>
      <w:r>
        <w:rPr>
          <w:spacing w:val="-14"/>
        </w:rPr>
        <w:t xml:space="preserve">占年初预算 </w:t>
      </w:r>
      <w:r>
        <w:rPr>
          <w:spacing w:val="-15"/>
        </w:rPr>
        <w:t>0.03</w:t>
      </w:r>
      <w:r>
        <w:rPr>
          <w:spacing w:val="-14"/>
        </w:rPr>
        <w:t xml:space="preserve">%，财政对工伤保险基金的补助支出 </w:t>
      </w:r>
      <w:r>
        <w:t>0.2</w:t>
      </w:r>
      <w:r>
        <w:rPr>
          <w:spacing w:val="-31"/>
        </w:rPr>
        <w:t xml:space="preserve"> 万， </w:t>
      </w:r>
      <w:r>
        <w:rPr>
          <w:spacing w:val="-34"/>
        </w:rPr>
        <w:t xml:space="preserve">占年初预算 </w:t>
      </w:r>
      <w:r>
        <w:t>0.01</w:t>
      </w:r>
      <w:r>
        <w:rPr>
          <w:spacing w:val="-6"/>
        </w:rPr>
        <w:t xml:space="preserve">%，财政对生育保险基金的补助支出 </w:t>
      </w:r>
      <w:r>
        <w:t>1</w:t>
      </w:r>
      <w:r>
        <w:rPr>
          <w:spacing w:val="-22"/>
        </w:rPr>
        <w:t xml:space="preserve"> 万， </w:t>
      </w:r>
      <w:r>
        <w:rPr>
          <w:spacing w:val="-31"/>
        </w:rPr>
        <w:t xml:space="preserve">占年初预算 </w:t>
      </w:r>
      <w:r>
        <w:rPr>
          <w:spacing w:val="-10"/>
        </w:rPr>
        <w:t>0.07</w:t>
      </w:r>
      <w:r>
        <w:rPr>
          <w:spacing w:val="-14"/>
        </w:rPr>
        <w:t xml:space="preserve">%，事业单位医疗支出 </w:t>
      </w:r>
      <w:r>
        <w:t>11.8</w:t>
      </w:r>
      <w:r>
        <w:rPr>
          <w:spacing w:val="-18"/>
        </w:rPr>
        <w:t xml:space="preserve"> 万，占年初预算</w:t>
      </w:r>
      <w:r>
        <w:rPr>
          <w:spacing w:val="-20"/>
        </w:rPr>
        <w:t>0.83</w:t>
      </w:r>
      <w:r>
        <w:rPr>
          <w:spacing w:val="-25"/>
        </w:rPr>
        <w:t xml:space="preserve">%；住房公积金支出 </w:t>
      </w:r>
      <w:r>
        <w:t>23.7</w:t>
      </w:r>
      <w:r>
        <w:rPr>
          <w:spacing w:val="-23"/>
        </w:rPr>
        <w:t xml:space="preserve"> 万，占年初预算 </w:t>
      </w:r>
      <w:r>
        <w:t>1.66%。</w:t>
      </w:r>
    </w:p>
    <w:p>
      <w:pPr>
        <w:pStyle w:val="2"/>
        <w:spacing w:before="11"/>
      </w:pPr>
      <w:r>
        <w:t>（六）一般公共预算基本支出预算情况说明</w:t>
      </w:r>
    </w:p>
    <w:p>
      <w:pPr>
        <w:pStyle w:val="3"/>
        <w:spacing w:before="120"/>
        <w:ind w:left="761"/>
      </w:pPr>
      <w:r>
        <w:t>2019 年一般公共预算基本支出 1421.3 万元，其中：人</w:t>
      </w:r>
    </w:p>
    <w:p>
      <w:pPr>
        <w:pStyle w:val="3"/>
        <w:spacing w:before="133" w:line="319" w:lineRule="auto"/>
        <w:ind w:right="250"/>
      </w:pPr>
      <w:r>
        <w:rPr>
          <w:spacing w:val="-23"/>
        </w:rPr>
        <w:t xml:space="preserve">员经费 </w:t>
      </w:r>
      <w:r>
        <w:rPr>
          <w:rFonts w:hint="eastAsia"/>
          <w:lang w:val="en-US" w:eastAsia="zh-CN"/>
        </w:rPr>
        <w:t>664.2</w:t>
      </w:r>
      <w:r>
        <w:rPr>
          <w:spacing w:val="-20"/>
        </w:rPr>
        <w:t>万元，主要包括：基本工资、津贴补贴、奖金、</w:t>
      </w:r>
      <w:r>
        <w:rPr>
          <w:spacing w:val="-13"/>
        </w:rPr>
        <w:t>社会保障缴费、绩效工资、遗属补助、住房公积金等；公用经</w:t>
      </w:r>
      <w:r>
        <w:rPr>
          <w:spacing w:val="-43"/>
        </w:rPr>
        <w:t xml:space="preserve">费 </w:t>
      </w:r>
      <w:r>
        <w:rPr>
          <w:rFonts w:hint="eastAsia"/>
          <w:lang w:val="en-US" w:eastAsia="zh-CN"/>
        </w:rPr>
        <w:t>715.98</w:t>
      </w:r>
      <w:r>
        <w:rPr>
          <w:spacing w:val="-13"/>
        </w:rPr>
        <w:t>万元，主要包括：办公费、印刷费、手续费、邮电</w:t>
      </w:r>
      <w:r>
        <w:rPr>
          <w:spacing w:val="-10"/>
        </w:rPr>
        <w:t>费、差旅费、维修</w:t>
      </w:r>
      <w:r>
        <w:rPr>
          <w:spacing w:val="-8"/>
        </w:rPr>
        <w:t>（</w:t>
      </w:r>
      <w:r>
        <w:rPr>
          <w:spacing w:val="-10"/>
        </w:rPr>
        <w:t>护）费、租赁费、会议费、培训费、公务</w:t>
      </w:r>
      <w:r>
        <w:rPr>
          <w:spacing w:val="-8"/>
          <w:w w:val="95"/>
        </w:rPr>
        <w:t xml:space="preserve">接待费、劳务费、工会经费、福利费、公务用车运行维护费、 </w:t>
      </w:r>
      <w:r>
        <w:rPr>
          <w:spacing w:val="-8"/>
        </w:rPr>
        <w:t>其他交通费用、办公设备购置</w:t>
      </w:r>
      <w:r>
        <w:rPr>
          <w:rFonts w:hint="eastAsia"/>
          <w:spacing w:val="-8"/>
          <w:lang w:eastAsia="zh-CN"/>
        </w:rPr>
        <w:t>；对个人和家庭的补助</w:t>
      </w:r>
      <w:r>
        <w:rPr>
          <w:rFonts w:hint="eastAsia"/>
          <w:spacing w:val="-8"/>
          <w:lang w:val="en-US" w:eastAsia="zh-CN"/>
        </w:rPr>
        <w:t>39.17万元；其他支出2万元</w:t>
      </w:r>
      <w:r>
        <w:rPr>
          <w:spacing w:val="-8"/>
        </w:rPr>
        <w:t>。</w:t>
      </w:r>
    </w:p>
    <w:p>
      <w:pPr>
        <w:spacing w:before="9" w:line="319" w:lineRule="auto"/>
        <w:ind w:left="761" w:right="2460" w:hanging="159"/>
        <w:jc w:val="left"/>
        <w:rPr>
          <w:sz w:val="32"/>
        </w:rPr>
      </w:pPr>
      <w:r>
        <w:rPr>
          <w:b/>
          <w:sz w:val="32"/>
        </w:rPr>
        <w:t>（七）</w:t>
      </w:r>
      <w:r>
        <w:rPr>
          <w:b/>
          <w:spacing w:val="-1"/>
          <w:sz w:val="32"/>
        </w:rPr>
        <w:t>政府性基金预算支出情况说明</w:t>
      </w:r>
      <w:r>
        <w:rPr>
          <w:spacing w:val="-23"/>
          <w:sz w:val="32"/>
        </w:rPr>
        <w:t xml:space="preserve">我单位 </w:t>
      </w:r>
      <w:r>
        <w:rPr>
          <w:sz w:val="32"/>
        </w:rPr>
        <w:t>2019</w:t>
      </w:r>
      <w:r>
        <w:rPr>
          <w:spacing w:val="-12"/>
          <w:sz w:val="32"/>
        </w:rPr>
        <w:t xml:space="preserve"> 年无政府性基金预算支出。</w:t>
      </w:r>
    </w:p>
    <w:p>
      <w:pPr>
        <w:spacing w:after="0" w:line="319" w:lineRule="auto"/>
        <w:jc w:val="left"/>
        <w:rPr>
          <w:sz w:val="32"/>
        </w:rPr>
        <w:sectPr>
          <w:pgSz w:w="11920" w:h="16850"/>
          <w:pgMar w:top="1500" w:right="1400" w:bottom="1380" w:left="1680" w:header="0" w:footer="1188" w:gutter="0"/>
        </w:sectPr>
      </w:pPr>
    </w:p>
    <w:p>
      <w:pPr>
        <w:pStyle w:val="2"/>
        <w:spacing w:before="34"/>
      </w:pPr>
      <w:r>
        <w:t>（八）“三公”经费支出预算情况说明</w:t>
      </w:r>
    </w:p>
    <w:p>
      <w:pPr>
        <w:pStyle w:val="3"/>
        <w:spacing w:before="135"/>
        <w:ind w:left="761"/>
      </w:pPr>
      <w:r>
        <w:t>2019 年“三公”经费预算为 25 万元，2019 年“三公”</w:t>
      </w:r>
    </w:p>
    <w:p>
      <w:pPr>
        <w:pStyle w:val="3"/>
        <w:spacing w:before="133" w:line="319" w:lineRule="auto"/>
        <w:ind w:right="580"/>
      </w:pPr>
      <w:r>
        <w:rPr>
          <w:spacing w:val="-3"/>
        </w:rPr>
        <w:t xml:space="preserve">经费支出预算数比 </w:t>
      </w:r>
      <w:r>
        <w:t>2018</w:t>
      </w:r>
      <w:r>
        <w:rPr>
          <w:spacing w:val="-20"/>
        </w:rPr>
        <w:t xml:space="preserve"> 年减少</w:t>
      </w:r>
      <w:r>
        <w:t>0.5</w:t>
      </w:r>
      <w:r>
        <w:rPr>
          <w:spacing w:val="-26"/>
        </w:rPr>
        <w:t>万元。减少主要原因是： 严格按照中央八项规定精神，厉行节约。</w:t>
      </w:r>
    </w:p>
    <w:p>
      <w:pPr>
        <w:pStyle w:val="3"/>
        <w:spacing w:before="8"/>
        <w:ind w:left="761"/>
      </w:pPr>
      <w:r>
        <w:t>具体支出情况如下：</w:t>
      </w:r>
    </w:p>
    <w:p>
      <w:pPr>
        <w:pStyle w:val="8"/>
        <w:numPr>
          <w:ilvl w:val="0"/>
          <w:numId w:val="1"/>
        </w:numPr>
        <w:tabs>
          <w:tab w:val="left" w:pos="1563"/>
        </w:tabs>
        <w:spacing w:before="126" w:after="0" w:line="240" w:lineRule="auto"/>
        <w:ind w:left="1562" w:right="0" w:hanging="802"/>
        <w:jc w:val="left"/>
        <w:rPr>
          <w:sz w:val="30"/>
        </w:rPr>
      </w:pPr>
      <w:r>
        <w:rPr>
          <w:sz w:val="32"/>
        </w:rPr>
        <w:t>因公出国（境）</w:t>
      </w:r>
      <w:r>
        <w:rPr>
          <w:spacing w:val="1"/>
          <w:sz w:val="32"/>
        </w:rPr>
        <w:t xml:space="preserve">费 </w:t>
      </w:r>
      <w:r>
        <w:rPr>
          <w:sz w:val="32"/>
        </w:rPr>
        <w:t>0</w:t>
      </w:r>
      <w:r>
        <w:rPr>
          <w:spacing w:val="-16"/>
          <w:sz w:val="32"/>
        </w:rPr>
        <w:t xml:space="preserve"> 万元。</w:t>
      </w:r>
    </w:p>
    <w:p>
      <w:pPr>
        <w:pStyle w:val="8"/>
        <w:numPr>
          <w:ilvl w:val="0"/>
          <w:numId w:val="1"/>
        </w:numPr>
        <w:tabs>
          <w:tab w:val="left" w:pos="1561"/>
        </w:tabs>
        <w:spacing w:before="135" w:after="0" w:line="319" w:lineRule="auto"/>
        <w:ind w:left="120" w:right="387" w:firstLine="640"/>
        <w:jc w:val="both"/>
        <w:rPr>
          <w:sz w:val="30"/>
        </w:rPr>
      </w:pPr>
      <w:r>
        <w:rPr>
          <w:spacing w:val="-10"/>
          <w:sz w:val="32"/>
        </w:rPr>
        <w:t xml:space="preserve">公务用车购置及运行费 </w:t>
      </w:r>
      <w:r>
        <w:rPr>
          <w:sz w:val="32"/>
        </w:rPr>
        <w:t>24</w:t>
      </w:r>
      <w:r>
        <w:rPr>
          <w:spacing w:val="-13"/>
          <w:sz w:val="32"/>
        </w:rPr>
        <w:t xml:space="preserve"> 万元，其中，公务用车</w:t>
      </w:r>
      <w:r>
        <w:rPr>
          <w:spacing w:val="-9"/>
          <w:sz w:val="32"/>
        </w:rPr>
        <w:t xml:space="preserve">购置费 </w:t>
      </w:r>
      <w:r>
        <w:rPr>
          <w:sz w:val="32"/>
        </w:rPr>
        <w:t>0</w:t>
      </w:r>
      <w:r>
        <w:rPr>
          <w:spacing w:val="-9"/>
          <w:sz w:val="32"/>
        </w:rPr>
        <w:t xml:space="preserve"> 万元；公务用车运行维护费 </w:t>
      </w:r>
      <w:r>
        <w:rPr>
          <w:sz w:val="32"/>
        </w:rPr>
        <w:t>24</w:t>
      </w:r>
      <w:r>
        <w:rPr>
          <w:spacing w:val="-5"/>
          <w:sz w:val="32"/>
        </w:rPr>
        <w:t xml:space="preserve"> 万元，主要用于开</w:t>
      </w:r>
      <w:r>
        <w:rPr>
          <w:spacing w:val="-6"/>
          <w:sz w:val="32"/>
        </w:rPr>
        <w:t>展工作所需公务用车的燃料费、维修费、过路过桥费、保险</w:t>
      </w:r>
      <w:r>
        <w:rPr>
          <w:spacing w:val="-14"/>
          <w:sz w:val="32"/>
        </w:rPr>
        <w:t xml:space="preserve">费等支出。公务用车运行维护费预算数比 </w:t>
      </w:r>
      <w:r>
        <w:rPr>
          <w:rFonts w:ascii="Times New Roman" w:eastAsia="Times New Roman"/>
          <w:sz w:val="32"/>
        </w:rPr>
        <w:t>2018</w:t>
      </w:r>
      <w:r>
        <w:rPr>
          <w:rFonts w:ascii="Times New Roman" w:eastAsia="Times New Roman"/>
          <w:spacing w:val="-2"/>
          <w:sz w:val="32"/>
        </w:rPr>
        <w:t xml:space="preserve"> </w:t>
      </w:r>
      <w:r>
        <w:rPr>
          <w:spacing w:val="-15"/>
          <w:sz w:val="32"/>
        </w:rPr>
        <w:t>年持平。</w:t>
      </w:r>
    </w:p>
    <w:p>
      <w:pPr>
        <w:pStyle w:val="8"/>
        <w:numPr>
          <w:ilvl w:val="0"/>
          <w:numId w:val="1"/>
        </w:numPr>
        <w:tabs>
          <w:tab w:val="left" w:pos="1396"/>
        </w:tabs>
        <w:spacing w:before="3" w:after="0" w:line="242" w:lineRule="auto"/>
        <w:ind w:left="600" w:right="108" w:firstLine="0"/>
        <w:jc w:val="both"/>
        <w:rPr>
          <w:sz w:val="30"/>
        </w:rPr>
      </w:pPr>
      <w:r>
        <w:rPr>
          <w:spacing w:val="-3"/>
          <w:w w:val="95"/>
          <w:sz w:val="32"/>
        </w:rPr>
        <w:t>公务接待费</w:t>
      </w:r>
      <w:r>
        <w:rPr>
          <w:spacing w:val="13"/>
          <w:w w:val="95"/>
          <w:sz w:val="32"/>
        </w:rPr>
        <w:t>1</w:t>
      </w:r>
      <w:r>
        <w:rPr>
          <w:spacing w:val="2"/>
          <w:w w:val="95"/>
          <w:sz w:val="32"/>
        </w:rPr>
        <w:t>万元。主要用于按规定开支的各类公务</w:t>
      </w:r>
      <w:r>
        <w:rPr>
          <w:spacing w:val="8"/>
          <w:sz w:val="32"/>
        </w:rPr>
        <w:t>接待</w:t>
      </w:r>
      <w:r>
        <w:rPr>
          <w:rFonts w:ascii="Times New Roman" w:eastAsia="Times New Roman"/>
          <w:spacing w:val="4"/>
          <w:sz w:val="32"/>
        </w:rPr>
        <w:t>(</w:t>
      </w:r>
      <w:r>
        <w:rPr>
          <w:spacing w:val="7"/>
          <w:sz w:val="32"/>
        </w:rPr>
        <w:t>含外宾接待</w:t>
      </w:r>
      <w:r>
        <w:rPr>
          <w:rFonts w:ascii="Times New Roman" w:eastAsia="Times New Roman"/>
          <w:sz w:val="32"/>
        </w:rPr>
        <w:t>)</w:t>
      </w:r>
      <w:r>
        <w:rPr>
          <w:spacing w:val="-7"/>
          <w:sz w:val="32"/>
        </w:rPr>
        <w:t xml:space="preserve">支出。预算数比 </w:t>
      </w:r>
      <w:r>
        <w:rPr>
          <w:rFonts w:ascii="Times New Roman" w:eastAsia="Times New Roman"/>
          <w:sz w:val="32"/>
        </w:rPr>
        <w:t>2018</w:t>
      </w:r>
      <w:r>
        <w:rPr>
          <w:spacing w:val="-12"/>
          <w:sz w:val="32"/>
        </w:rPr>
        <w:t>年减少</w:t>
      </w:r>
      <w:r>
        <w:rPr>
          <w:rFonts w:ascii="Times New Roman" w:eastAsia="Times New Roman"/>
          <w:sz w:val="32"/>
        </w:rPr>
        <w:t>0.5</w:t>
      </w:r>
      <w:r>
        <w:rPr>
          <w:sz w:val="32"/>
        </w:rPr>
        <w:t>万元。主</w:t>
      </w:r>
      <w:r>
        <w:rPr>
          <w:spacing w:val="1"/>
          <w:sz w:val="32"/>
        </w:rPr>
        <w:t>要原因：严格执行八项规定，压缩公务活动接待，接待任</w:t>
      </w:r>
      <w:r>
        <w:rPr>
          <w:spacing w:val="-3"/>
          <w:sz w:val="32"/>
        </w:rPr>
        <w:t>务减少</w:t>
      </w:r>
    </w:p>
    <w:p>
      <w:pPr>
        <w:pStyle w:val="2"/>
        <w:spacing w:before="134"/>
      </w:pPr>
      <w:r>
        <w:t>（九）其他重要事项的情况说明</w:t>
      </w:r>
    </w:p>
    <w:p>
      <w:pPr>
        <w:pStyle w:val="3"/>
        <w:spacing w:before="135"/>
        <w:ind w:left="761"/>
      </w:pPr>
      <w:r>
        <w:t>（一）机关运行经费支出情况</w:t>
      </w:r>
    </w:p>
    <w:p>
      <w:pPr>
        <w:pStyle w:val="3"/>
        <w:spacing w:before="132" w:line="319" w:lineRule="auto"/>
        <w:ind w:right="444" w:firstLine="640"/>
      </w:pPr>
      <w:r>
        <w:rPr>
          <w:spacing w:val="-14"/>
        </w:rPr>
        <w:t xml:space="preserve">我单位 </w:t>
      </w:r>
      <w:r>
        <w:t>2019</w:t>
      </w:r>
      <w:r>
        <w:rPr>
          <w:spacing w:val="-12"/>
        </w:rPr>
        <w:t xml:space="preserve"> 年机关运行经费支出预算 </w:t>
      </w:r>
      <w:r>
        <w:rPr>
          <w:rFonts w:hint="eastAsia"/>
          <w:lang w:val="en-US" w:eastAsia="zh-CN"/>
        </w:rPr>
        <w:t>717.98</w:t>
      </w:r>
      <w:r>
        <w:rPr>
          <w:spacing w:val="-9"/>
        </w:rPr>
        <w:t>万元，主</w:t>
      </w:r>
      <w:r>
        <w:rPr>
          <w:spacing w:val="-10"/>
        </w:rPr>
        <w:t>要保障机关人员工资发放、正常运转及正常履职需要。</w:t>
      </w:r>
    </w:p>
    <w:p>
      <w:pPr>
        <w:pStyle w:val="3"/>
        <w:spacing w:before="9"/>
        <w:ind w:left="761"/>
      </w:pPr>
      <w:r>
        <w:t>（二）政府采购支出情况</w:t>
      </w:r>
    </w:p>
    <w:p>
      <w:pPr>
        <w:pStyle w:val="3"/>
        <w:spacing w:before="126"/>
        <w:ind w:left="828"/>
      </w:pPr>
      <w:r>
        <w:rPr>
          <w:spacing w:val="-14"/>
        </w:rPr>
        <w:t xml:space="preserve">我单位 </w:t>
      </w:r>
      <w:r>
        <w:t>2019</w:t>
      </w:r>
      <w:r>
        <w:rPr>
          <w:spacing w:val="-14"/>
        </w:rPr>
        <w:t xml:space="preserve"> 年政府采购预算安排 </w:t>
      </w:r>
      <w:r>
        <w:t>0</w:t>
      </w:r>
      <w:r>
        <w:rPr>
          <w:spacing w:val="-8"/>
        </w:rPr>
        <w:t xml:space="preserve"> 万元，其中：政府</w:t>
      </w:r>
    </w:p>
    <w:p>
      <w:pPr>
        <w:pStyle w:val="3"/>
        <w:spacing w:before="134"/>
        <w:ind w:left="187"/>
      </w:pPr>
      <w:r>
        <w:rPr>
          <w:spacing w:val="-14"/>
        </w:rPr>
        <w:t xml:space="preserve">采购货物预算 </w:t>
      </w:r>
      <w:r>
        <w:t>0</w:t>
      </w:r>
      <w:r>
        <w:rPr>
          <w:spacing w:val="-19"/>
        </w:rPr>
        <w:t xml:space="preserve"> 万元、政府采购工程预算 </w:t>
      </w:r>
      <w:r>
        <w:t>0</w:t>
      </w:r>
      <w:r>
        <w:rPr>
          <w:spacing w:val="-15"/>
        </w:rPr>
        <w:t xml:space="preserve"> 万元、政府采购</w:t>
      </w:r>
    </w:p>
    <w:p>
      <w:pPr>
        <w:pStyle w:val="3"/>
        <w:spacing w:before="135"/>
      </w:pPr>
      <w:r>
        <w:t>服务预算 0 万元。</w:t>
      </w:r>
    </w:p>
    <w:p>
      <w:pPr>
        <w:pStyle w:val="3"/>
        <w:spacing w:before="135"/>
        <w:ind w:left="761"/>
      </w:pPr>
      <w:r>
        <w:t>（三）国有资本经营预算支出情况</w:t>
      </w:r>
    </w:p>
    <w:p>
      <w:pPr>
        <w:pStyle w:val="3"/>
        <w:spacing w:before="135"/>
        <w:ind w:left="761"/>
      </w:pPr>
      <w:r>
        <w:t>我单位国有资本经营预算支出为 0 万元。</w:t>
      </w:r>
    </w:p>
    <w:p>
      <w:pPr>
        <w:pStyle w:val="3"/>
        <w:spacing w:before="135" w:line="319" w:lineRule="auto"/>
        <w:ind w:left="761" w:right="329"/>
      </w:pPr>
      <w:r>
        <w:t>（四）重点项目预算的绩效目标等预算绩效情况说明2019</w:t>
      </w:r>
      <w:r>
        <w:rPr>
          <w:spacing w:val="-26"/>
        </w:rPr>
        <w:t xml:space="preserve"> 年，我单位共组织对</w:t>
      </w:r>
      <w:r>
        <w:t>0</w:t>
      </w:r>
      <w:r>
        <w:rPr>
          <w:spacing w:val="-16"/>
        </w:rPr>
        <w:t xml:space="preserve"> 个项目进行了预算绩效评价，</w:t>
      </w:r>
    </w:p>
    <w:p>
      <w:pPr>
        <w:spacing w:after="0" w:line="319" w:lineRule="auto"/>
        <w:sectPr>
          <w:pgSz w:w="11920" w:h="16850"/>
          <w:pgMar w:top="1500" w:right="1400" w:bottom="1380" w:left="1680" w:header="0" w:footer="1188" w:gutter="0"/>
        </w:sectPr>
      </w:pPr>
    </w:p>
    <w:p>
      <w:pPr>
        <w:pStyle w:val="3"/>
        <w:spacing w:before="43"/>
      </w:pPr>
      <w:r>
        <w:t>涉及资金 0 万元。</w:t>
      </w:r>
    </w:p>
    <w:p>
      <w:pPr>
        <w:pStyle w:val="3"/>
        <w:spacing w:before="126"/>
        <w:ind w:left="761"/>
      </w:pPr>
      <w:r>
        <w:t>（五）国有资产占用情况</w:t>
      </w:r>
    </w:p>
    <w:p>
      <w:pPr>
        <w:spacing w:after="0"/>
        <w:sectPr>
          <w:pgSz w:w="11920" w:h="16850"/>
          <w:pgMar w:top="1460" w:right="1400" w:bottom="1380" w:left="1680" w:header="0" w:footer="1188" w:gutter="0"/>
        </w:sectPr>
      </w:pPr>
    </w:p>
    <w:p>
      <w:pPr>
        <w:pStyle w:val="3"/>
        <w:spacing w:before="34"/>
        <w:ind w:left="0" w:right="379"/>
        <w:jc w:val="both"/>
      </w:pPr>
      <w:r>
        <w:t>2018</w:t>
      </w:r>
      <w:r>
        <w:rPr>
          <w:spacing w:val="-21"/>
        </w:rPr>
        <w:t xml:space="preserve"> 年期末，我单位共有车辆 </w:t>
      </w:r>
      <w:r>
        <w:t>5</w:t>
      </w:r>
      <w:r>
        <w:rPr>
          <w:spacing w:val="-18"/>
        </w:rPr>
        <w:t xml:space="preserve"> 辆，其中：一般公务用</w:t>
      </w:r>
    </w:p>
    <w:p>
      <w:pPr>
        <w:pStyle w:val="3"/>
        <w:spacing w:before="135"/>
        <w:ind w:left="0" w:right="352"/>
        <w:jc w:val="right"/>
      </w:pPr>
      <w:r>
        <w:t>车 5</w:t>
      </w:r>
      <w:r>
        <w:rPr>
          <w:spacing w:val="-33"/>
        </w:rPr>
        <w:t xml:space="preserve"> 辆；单价 </w:t>
      </w:r>
      <w:r>
        <w:t>50</w:t>
      </w:r>
      <w:r>
        <w:rPr>
          <w:spacing w:val="-12"/>
        </w:rPr>
        <w:t xml:space="preserve"> 万元以上通用设备 </w:t>
      </w:r>
      <w:r>
        <w:t>0</w:t>
      </w:r>
      <w:r>
        <w:rPr>
          <w:spacing w:val="-23"/>
        </w:rPr>
        <w:t xml:space="preserve"> 台，单位价值 </w:t>
      </w:r>
      <w:r>
        <w:t>100</w:t>
      </w:r>
      <w:r>
        <w:rPr>
          <w:spacing w:val="-22"/>
        </w:rPr>
        <w:t xml:space="preserve"> 万</w:t>
      </w:r>
    </w:p>
    <w:p>
      <w:pPr>
        <w:pStyle w:val="3"/>
        <w:spacing w:before="135"/>
      </w:pPr>
      <w:r>
        <w:t>元以上专用设备 0 台。</w:t>
      </w:r>
    </w:p>
    <w:p>
      <w:pPr>
        <w:pStyle w:val="3"/>
        <w:spacing w:before="133" w:line="319" w:lineRule="auto"/>
        <w:ind w:left="1721" w:right="3909" w:hanging="960"/>
        <w:jc w:val="both"/>
        <w:rPr>
          <w:rFonts w:hint="eastAsia" w:eastAsia="仿宋"/>
          <w:lang w:eastAsia="zh-CN"/>
        </w:rPr>
      </w:pPr>
      <w:r>
        <w:t>（六）专项转移支付项目情况</w:t>
      </w:r>
      <w:r>
        <w:rPr>
          <w:rFonts w:hint="eastAsia"/>
          <w:spacing w:val="-12"/>
          <w:lang w:eastAsia="zh-CN"/>
        </w:rPr>
        <w:t>我单位无专项转移支付项目</w:t>
      </w:r>
      <w:bookmarkStart w:id="0" w:name="_GoBack"/>
      <w:bookmarkEnd w:id="0"/>
    </w:p>
    <w:p>
      <w:pPr>
        <w:pStyle w:val="3"/>
        <w:ind w:left="0"/>
      </w:pPr>
    </w:p>
    <w:p>
      <w:pPr>
        <w:pStyle w:val="3"/>
        <w:ind w:left="0"/>
      </w:pPr>
    </w:p>
    <w:p>
      <w:pPr>
        <w:pStyle w:val="3"/>
        <w:spacing w:before="5"/>
        <w:ind w:left="0"/>
        <w:rPr>
          <w:sz w:val="28"/>
        </w:rPr>
      </w:pPr>
    </w:p>
    <w:p>
      <w:pPr>
        <w:tabs>
          <w:tab w:val="left" w:pos="5182"/>
        </w:tabs>
        <w:spacing w:before="0"/>
        <w:ind w:left="3634" w:right="0" w:firstLine="0"/>
        <w:jc w:val="left"/>
        <w:rPr>
          <w:rFonts w:hint="eastAsia" w:ascii="宋体" w:eastAsia="宋体"/>
          <w:b/>
          <w:sz w:val="28"/>
        </w:rPr>
      </w:pPr>
      <w:r>
        <w:rPr>
          <w:rFonts w:hint="eastAsia" w:ascii="宋体" w:eastAsia="宋体"/>
          <w:b/>
          <w:sz w:val="28"/>
        </w:rPr>
        <w:t>第三部分</w:t>
      </w:r>
      <w:r>
        <w:rPr>
          <w:rFonts w:hint="eastAsia" w:ascii="宋体" w:eastAsia="宋体"/>
          <w:b/>
          <w:sz w:val="28"/>
        </w:rPr>
        <w:tab/>
      </w:r>
      <w:r>
        <w:rPr>
          <w:rFonts w:hint="eastAsia" w:ascii="宋体" w:eastAsia="宋体"/>
          <w:b/>
          <w:sz w:val="28"/>
        </w:rPr>
        <w:t>名词解释</w:t>
      </w:r>
    </w:p>
    <w:p>
      <w:pPr>
        <w:pStyle w:val="3"/>
        <w:spacing w:before="206" w:line="355" w:lineRule="auto"/>
        <w:ind w:right="391" w:firstLine="640"/>
      </w:pPr>
      <w:r>
        <w:t>一、财政拨款：指一般公共预算财政拨款和政府性基金预算财政拨款。</w:t>
      </w:r>
    </w:p>
    <w:p>
      <w:pPr>
        <w:pStyle w:val="3"/>
        <w:spacing w:before="1" w:line="355" w:lineRule="auto"/>
        <w:ind w:right="391" w:firstLine="640"/>
      </w:pPr>
      <w:r>
        <w:t>二、一般公共预算：包括公共财政拨款（补助）资金、专项收入。</w:t>
      </w:r>
    </w:p>
    <w:p>
      <w:pPr>
        <w:pStyle w:val="3"/>
        <w:spacing w:line="409" w:lineRule="exact"/>
        <w:ind w:left="761"/>
      </w:pPr>
      <w:r>
        <w:t>三、财政专户管理资金：包括专户管理行政事业性收费</w:t>
      </w:r>
    </w:p>
    <w:p>
      <w:pPr>
        <w:pStyle w:val="3"/>
        <w:spacing w:before="197"/>
      </w:pPr>
      <w:r>
        <w:t>（主要是教育收费）、其他非税收入。</w:t>
      </w:r>
    </w:p>
    <w:p>
      <w:pPr>
        <w:pStyle w:val="3"/>
        <w:spacing w:before="195" w:line="355" w:lineRule="auto"/>
        <w:ind w:left="761" w:right="426"/>
      </w:pPr>
      <w:r>
        <w:rPr>
          <w:spacing w:val="-15"/>
          <w:w w:val="95"/>
        </w:rPr>
        <w:t xml:space="preserve">四、其他资金：包括事业收入、经营收入、其他收入等。 </w:t>
      </w:r>
      <w:r>
        <w:rPr>
          <w:spacing w:val="-3"/>
        </w:rPr>
        <w:t>五、基本支出：指为保障机构正常运转、完成工作任务</w:t>
      </w:r>
    </w:p>
    <w:p>
      <w:pPr>
        <w:pStyle w:val="3"/>
        <w:spacing w:line="408" w:lineRule="exact"/>
      </w:pPr>
      <w:r>
        <w:t>而发生的人员支出和公用支出。</w:t>
      </w:r>
    </w:p>
    <w:p>
      <w:pPr>
        <w:pStyle w:val="3"/>
        <w:spacing w:before="195" w:line="355" w:lineRule="auto"/>
        <w:ind w:right="501" w:firstLine="640"/>
      </w:pPr>
      <w:r>
        <w:rPr>
          <w:spacing w:val="-5"/>
          <w:w w:val="95"/>
        </w:rPr>
        <w:t xml:space="preserve">六、项目支出：指在基本支出之外为完成特定工作任务 </w:t>
      </w:r>
      <w:r>
        <w:rPr>
          <w:spacing w:val="-5"/>
        </w:rPr>
        <w:t>和事业发展目标所发生的支出。</w:t>
      </w:r>
    </w:p>
    <w:p>
      <w:pPr>
        <w:pStyle w:val="3"/>
        <w:spacing w:before="1" w:line="355" w:lineRule="auto"/>
        <w:ind w:right="390" w:firstLine="640"/>
        <w:jc w:val="both"/>
      </w:pPr>
      <w:r>
        <w:t>七、“三公”经费：指部门用一般公共预算财政拨款安排的因公出国（境）费、公务用车购置及运行费和公务接待费。其中，因公出国（境）费反映单位公务出国（境）的住宿费、旅费、伙食补助费、杂费、培训费等支出；公务用车</w:t>
      </w:r>
    </w:p>
    <w:p>
      <w:pPr>
        <w:spacing w:after="0" w:line="355" w:lineRule="auto"/>
        <w:jc w:val="both"/>
        <w:sectPr>
          <w:pgSz w:w="11920" w:h="16850"/>
          <w:pgMar w:top="1500" w:right="1400" w:bottom="1380" w:left="1680" w:header="0" w:footer="1188" w:gutter="0"/>
        </w:sectPr>
      </w:pPr>
    </w:p>
    <w:p>
      <w:pPr>
        <w:pStyle w:val="3"/>
        <w:spacing w:before="43" w:line="355" w:lineRule="auto"/>
        <w:ind w:right="384"/>
        <w:jc w:val="both"/>
      </w:pPr>
      <w:r>
        <w:t>购置及运行费反映单位公务用车购置费、燃料费、维修费、过桥过路费、保险费、安全奖励费用等支出；公务接待费反映单位按规定开支的各类公务接待（含外宾接待）支出。</w:t>
      </w:r>
    </w:p>
    <w:p>
      <w:pPr>
        <w:pStyle w:val="3"/>
        <w:spacing w:line="355" w:lineRule="auto"/>
        <w:ind w:right="401" w:firstLine="640"/>
      </w:pPr>
      <w:r>
        <w:rPr>
          <w:spacing w:val="-5"/>
        </w:rPr>
        <w:t>八、机关运行经费：指行政单位</w:t>
      </w:r>
      <w:r>
        <w:t>（含参照公务员法管理的事业单位</w:t>
      </w:r>
      <w:r>
        <w:rPr>
          <w:spacing w:val="-12"/>
        </w:rPr>
        <w:t>）</w:t>
      </w:r>
      <w:r>
        <w:rPr>
          <w:spacing w:val="-1"/>
        </w:rPr>
        <w:t>使用一般公共预算安排的基本支出中的日常公</w:t>
      </w:r>
      <w:r>
        <w:rPr>
          <w:spacing w:val="-15"/>
        </w:rPr>
        <w:t>用经费支出，包括办公及印刷费、邮电费、差旅费、会议费、</w:t>
      </w:r>
      <w:r>
        <w:rPr>
          <w:spacing w:val="-3"/>
        </w:rPr>
        <w:t>福利费、日常维修费、专用材料及一般设备购置费、办公用</w:t>
      </w:r>
      <w:r>
        <w:rPr>
          <w:spacing w:val="-5"/>
        </w:rPr>
        <w:t>房水电费、办公用房取暖费、办公用房物业管理费、公务用车运行维护费及其他费用。</w:t>
      </w:r>
    </w:p>
    <w:sectPr>
      <w:pgSz w:w="11920" w:h="16850"/>
      <w:pgMar w:top="1540" w:right="1400" w:bottom="1380" w:left="1680" w:header="0" w:footer="1188"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00"/>
    <w:family w:val="auto"/>
    <w:pitch w:val="default"/>
    <w:sig w:usb0="A00002EF" w:usb1="4000207B" w:usb2="00000000" w:usb3="00000000" w:csb0="2000009F"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4097" o:spid="_x0000_s4097" o:spt="202" type="#_x0000_t202" style="position:absolute;left:0pt;margin-left:292.45pt;margin-top:771.6pt;height:11pt;width:10.6pt;mso-position-horizontal-relative:page;mso-position-vertical-relative:page;z-index:-15802368;mso-width-relative:page;mso-height-relative:page;" filled="f" stroked="f" coordsize="21600,21600">
          <v:path/>
          <v:fill on="f" focussize="0,0"/>
          <v:stroke on="f" joinstyle="miter"/>
          <v:imagedata o:title=""/>
          <o:lock v:ext="edit"/>
          <v:textbox inset="0mm,0mm,0mm,0mm">
            <w:txbxContent>
              <w:p>
                <w:pPr>
                  <w:spacing w:before="0" w:line="203" w:lineRule="exact"/>
                  <w:ind w:left="6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1562" w:hanging="802"/>
        <w:jc w:val="right"/>
      </w:pPr>
      <w:rPr>
        <w:rFonts w:hint="default"/>
        <w:spacing w:val="-4"/>
        <w:w w:val="98"/>
        <w:lang w:val="en-US" w:eastAsia="zh-CN" w:bidi="ar-SA"/>
      </w:rPr>
    </w:lvl>
    <w:lvl w:ilvl="1" w:tentative="0">
      <w:start w:val="0"/>
      <w:numFmt w:val="bullet"/>
      <w:lvlText w:val="•"/>
      <w:lvlJc w:val="left"/>
      <w:pPr>
        <w:ind w:left="2287" w:hanging="802"/>
      </w:pPr>
      <w:rPr>
        <w:rFonts w:hint="default"/>
        <w:lang w:val="en-US" w:eastAsia="zh-CN" w:bidi="ar-SA"/>
      </w:rPr>
    </w:lvl>
    <w:lvl w:ilvl="2" w:tentative="0">
      <w:start w:val="0"/>
      <w:numFmt w:val="bullet"/>
      <w:lvlText w:val="•"/>
      <w:lvlJc w:val="left"/>
      <w:pPr>
        <w:ind w:left="3014" w:hanging="802"/>
      </w:pPr>
      <w:rPr>
        <w:rFonts w:hint="default"/>
        <w:lang w:val="en-US" w:eastAsia="zh-CN" w:bidi="ar-SA"/>
      </w:rPr>
    </w:lvl>
    <w:lvl w:ilvl="3" w:tentative="0">
      <w:start w:val="0"/>
      <w:numFmt w:val="bullet"/>
      <w:lvlText w:val="•"/>
      <w:lvlJc w:val="left"/>
      <w:pPr>
        <w:ind w:left="3741" w:hanging="802"/>
      </w:pPr>
      <w:rPr>
        <w:rFonts w:hint="default"/>
        <w:lang w:val="en-US" w:eastAsia="zh-CN" w:bidi="ar-SA"/>
      </w:rPr>
    </w:lvl>
    <w:lvl w:ilvl="4" w:tentative="0">
      <w:start w:val="0"/>
      <w:numFmt w:val="bullet"/>
      <w:lvlText w:val="•"/>
      <w:lvlJc w:val="left"/>
      <w:pPr>
        <w:ind w:left="4468" w:hanging="802"/>
      </w:pPr>
      <w:rPr>
        <w:rFonts w:hint="default"/>
        <w:lang w:val="en-US" w:eastAsia="zh-CN" w:bidi="ar-SA"/>
      </w:rPr>
    </w:lvl>
    <w:lvl w:ilvl="5" w:tentative="0">
      <w:start w:val="0"/>
      <w:numFmt w:val="bullet"/>
      <w:lvlText w:val="•"/>
      <w:lvlJc w:val="left"/>
      <w:pPr>
        <w:ind w:left="5195" w:hanging="802"/>
      </w:pPr>
      <w:rPr>
        <w:rFonts w:hint="default"/>
        <w:lang w:val="en-US" w:eastAsia="zh-CN" w:bidi="ar-SA"/>
      </w:rPr>
    </w:lvl>
    <w:lvl w:ilvl="6" w:tentative="0">
      <w:start w:val="0"/>
      <w:numFmt w:val="bullet"/>
      <w:lvlText w:val="•"/>
      <w:lvlJc w:val="left"/>
      <w:pPr>
        <w:ind w:left="5922" w:hanging="802"/>
      </w:pPr>
      <w:rPr>
        <w:rFonts w:hint="default"/>
        <w:lang w:val="en-US" w:eastAsia="zh-CN" w:bidi="ar-SA"/>
      </w:rPr>
    </w:lvl>
    <w:lvl w:ilvl="7" w:tentative="0">
      <w:start w:val="0"/>
      <w:numFmt w:val="bullet"/>
      <w:lvlText w:val="•"/>
      <w:lvlJc w:val="left"/>
      <w:pPr>
        <w:ind w:left="6649" w:hanging="802"/>
      </w:pPr>
      <w:rPr>
        <w:rFonts w:hint="default"/>
        <w:lang w:val="en-US" w:eastAsia="zh-CN" w:bidi="ar-SA"/>
      </w:rPr>
    </w:lvl>
    <w:lvl w:ilvl="8" w:tentative="0">
      <w:start w:val="0"/>
      <w:numFmt w:val="bullet"/>
      <w:lvlText w:val="•"/>
      <w:lvlJc w:val="left"/>
      <w:pPr>
        <w:ind w:left="7376" w:hanging="802"/>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rsids>
    <w:rsidRoot w:val="00000000"/>
    <w:rsid w:val="0AAC3057"/>
    <w:rsid w:val="25C37401"/>
    <w:rsid w:val="27D024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zh-CN" w:bidi="ar-SA"/>
    </w:rPr>
  </w:style>
  <w:style w:type="paragraph" w:styleId="2">
    <w:name w:val="heading 1"/>
    <w:basedOn w:val="1"/>
    <w:next w:val="1"/>
    <w:qFormat/>
    <w:uiPriority w:val="1"/>
    <w:pPr>
      <w:spacing w:before="8"/>
      <w:ind w:left="602"/>
      <w:outlineLvl w:val="1"/>
    </w:pPr>
    <w:rPr>
      <w:rFonts w:ascii="仿宋" w:hAnsi="仿宋" w:eastAsia="仿宋" w:cs="仿宋"/>
      <w:b/>
      <w:bCs/>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ind w:left="120"/>
    </w:pPr>
    <w:rPr>
      <w:rFonts w:ascii="仿宋" w:hAnsi="仿宋" w:eastAsia="仿宋" w:cs="仿宋"/>
      <w:sz w:val="32"/>
      <w:szCs w:val="32"/>
      <w:lang w:val="en-US" w:eastAsia="zh-CN" w:bidi="ar-SA"/>
    </w:rPr>
  </w:style>
  <w:style w:type="paragraph" w:styleId="4">
    <w:name w:val="Title"/>
    <w:basedOn w:val="1"/>
    <w:qFormat/>
    <w:uiPriority w:val="1"/>
    <w:pPr>
      <w:spacing w:before="10"/>
      <w:ind w:left="1366" w:right="1640" w:hanging="6"/>
      <w:jc w:val="center"/>
    </w:pPr>
    <w:rPr>
      <w:rFonts w:ascii="宋体" w:hAnsi="宋体" w:eastAsia="宋体" w:cs="宋体"/>
      <w:b/>
      <w:bCs/>
      <w:sz w:val="44"/>
      <w:szCs w:val="44"/>
      <w:lang w:val="en-US" w:eastAsia="zh-CN" w:bidi="ar-SA"/>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3"/>
      <w:ind w:left="120" w:hanging="802"/>
      <w:jc w:val="both"/>
    </w:pPr>
    <w:rPr>
      <w:rFonts w:ascii="仿宋" w:hAnsi="仿宋" w:eastAsia="仿宋" w:cs="仿宋"/>
      <w:lang w:val="en-US" w:eastAsia="zh-CN" w:bidi="ar-SA"/>
    </w:rPr>
  </w:style>
  <w:style w:type="paragraph" w:customStyle="1" w:styleId="9">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ScaleCrop>false</ScaleCrop>
  <LinksUpToDate>false</LinksUpToDate>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2021-05-30T11:02:00Z</dcterms:created>
  <dc:creator>灰太郎</dc:creator>
  <cp:lastModifiedBy>Administrator</cp:lastModifiedBy>
  <dcterms:modified xsi:type="dcterms:W3CDTF">2021-06-08T02:00:30Z</dcterms:modified>
  <dc:title>舞阳县民政局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2020-01-15T00:00:00Z</vt:filetime>
  </property>
  <property fmtid="{D5CDD505-2E9C-101B-9397-08002B2CF9AE}" pid="3" name="Creator">
    <vt:lpwstr>Microsoft® Office Word 2007</vt:lpwstr>
  </property>
  <property fmtid="{D5CDD505-2E9C-101B-9397-08002B2CF9AE}" pid="4" name="LastSaved">
    <vt:filetime>2021-05-30T00:00:00Z</vt:filetime>
  </property>
  <property fmtid="{D5CDD505-2E9C-101B-9397-08002B2CF9AE}" pid="5" name="KSOProductBuildVer">
    <vt:lpwstr>2052-11.1.0.9021</vt:lpwstr>
  </property>
</Properties>
</file>