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line="450" w:lineRule="atLeast"/>
        <w:jc w:val="center"/>
        <w:rPr>
          <w:rFonts w:hint="eastAsia" w:ascii="宋体" w:hAnsi="宋体" w:eastAsia="宋体" w:cs="宋体"/>
          <w:b/>
          <w:bCs/>
          <w:color w:val="333333"/>
          <w:kern w:val="0"/>
          <w:sz w:val="30"/>
          <w:szCs w:val="30"/>
          <w:lang w:val="en-US" w:eastAsia="zh-CN"/>
        </w:rPr>
      </w:pPr>
      <w:bookmarkStart w:id="0" w:name="_GoBack"/>
      <w:r>
        <w:rPr>
          <w:rFonts w:hint="eastAsia" w:ascii="宋体" w:hAnsi="宋体" w:eastAsia="宋体" w:cs="宋体"/>
          <w:b/>
          <w:bCs/>
          <w:color w:val="333333"/>
          <w:kern w:val="0"/>
          <w:sz w:val="30"/>
          <w:szCs w:val="30"/>
        </w:rPr>
        <w:t>舞阳首创水务有限公司舞阳县城市生活污水净化中心技改项目</w:t>
      </w:r>
      <w:r>
        <w:rPr>
          <w:rFonts w:hint="eastAsia" w:ascii="宋体" w:hAnsi="宋体" w:eastAsia="宋体" w:cs="宋体"/>
          <w:b/>
          <w:bCs/>
          <w:color w:val="333333"/>
          <w:kern w:val="0"/>
          <w:sz w:val="30"/>
          <w:szCs w:val="30"/>
          <w:lang w:eastAsia="zh-CN"/>
        </w:rPr>
        <w:t>受理公示</w:t>
      </w:r>
    </w:p>
    <w:bookmarkEnd w:id="0"/>
    <w:p>
      <w:pPr>
        <w:widowControl/>
        <w:spacing w:before="100" w:beforeAutospacing="1" w:after="100" w:afterAutospacing="1" w:line="450" w:lineRule="atLeast"/>
        <w:jc w:val="left"/>
        <w:rPr>
          <w:rFonts w:ascii="Verdana" w:hAnsi="Verdana" w:eastAsia="宋体" w:cs="宋体"/>
          <w:kern w:val="0"/>
          <w:sz w:val="18"/>
          <w:szCs w:val="18"/>
        </w:rPr>
      </w:pPr>
      <w:r>
        <w:rPr>
          <w:rFonts w:hint="eastAsia" w:ascii="宋体" w:hAnsi="宋体" w:eastAsia="宋体" w:cs="宋体"/>
          <w:b/>
          <w:bCs/>
          <w:color w:val="333333"/>
          <w:kern w:val="0"/>
          <w:sz w:val="24"/>
          <w:szCs w:val="24"/>
        </w:rPr>
        <w:t>舞阳县环保局于201</w:t>
      </w:r>
      <w:r>
        <w:rPr>
          <w:rFonts w:ascii="宋体" w:hAnsi="宋体" w:eastAsia="宋体" w:cs="宋体"/>
          <w:b/>
          <w:bCs/>
          <w:color w:val="333333"/>
          <w:kern w:val="0"/>
          <w:sz w:val="24"/>
          <w:szCs w:val="24"/>
        </w:rPr>
        <w:t>9</w:t>
      </w:r>
      <w:r>
        <w:rPr>
          <w:rFonts w:hint="eastAsia" w:ascii="宋体" w:hAnsi="宋体" w:eastAsia="宋体" w:cs="宋体"/>
          <w:b/>
          <w:bCs/>
          <w:color w:val="333333"/>
          <w:kern w:val="0"/>
          <w:sz w:val="24"/>
          <w:szCs w:val="24"/>
        </w:rPr>
        <w:t>年</w:t>
      </w:r>
      <w:r>
        <w:rPr>
          <w:rFonts w:ascii="宋体" w:hAnsi="宋体" w:eastAsia="宋体" w:cs="宋体"/>
          <w:b/>
          <w:bCs/>
          <w:color w:val="333333"/>
          <w:kern w:val="0"/>
          <w:sz w:val="24"/>
          <w:szCs w:val="24"/>
        </w:rPr>
        <w:t>1</w:t>
      </w:r>
      <w:r>
        <w:rPr>
          <w:rFonts w:hint="eastAsia" w:ascii="宋体" w:hAnsi="宋体" w:eastAsia="宋体" w:cs="宋体"/>
          <w:b/>
          <w:bCs/>
          <w:color w:val="333333"/>
          <w:kern w:val="0"/>
          <w:sz w:val="24"/>
          <w:szCs w:val="24"/>
          <w:lang w:val="en-US" w:eastAsia="zh-CN"/>
        </w:rPr>
        <w:t>1</w:t>
      </w:r>
      <w:r>
        <w:rPr>
          <w:rFonts w:hint="eastAsia" w:ascii="宋体" w:hAnsi="宋体" w:eastAsia="宋体" w:cs="宋体"/>
          <w:b/>
          <w:bCs/>
          <w:color w:val="333333"/>
          <w:kern w:val="0"/>
          <w:sz w:val="24"/>
          <w:szCs w:val="24"/>
        </w:rPr>
        <w:t>月</w:t>
      </w:r>
      <w:r>
        <w:rPr>
          <w:rFonts w:hint="eastAsia" w:ascii="宋体" w:hAnsi="宋体" w:eastAsia="宋体" w:cs="宋体"/>
          <w:b/>
          <w:bCs/>
          <w:color w:val="333333"/>
          <w:kern w:val="0"/>
          <w:sz w:val="24"/>
          <w:szCs w:val="24"/>
          <w:lang w:val="en-US" w:eastAsia="zh-CN"/>
        </w:rPr>
        <w:t>25</w:t>
      </w:r>
      <w:r>
        <w:rPr>
          <w:rFonts w:hint="eastAsia" w:ascii="宋体" w:hAnsi="宋体" w:eastAsia="宋体" w:cs="宋体"/>
          <w:b/>
          <w:bCs/>
          <w:color w:val="333333"/>
          <w:kern w:val="0"/>
          <w:sz w:val="24"/>
          <w:szCs w:val="24"/>
        </w:rPr>
        <w:t>日受理舞阳首创水务有限公司舞阳县城市生活污水净化中心技改项目文件，现公告有关环评信息，接受社会监督。受项目影响的公众可在5个工作日内以书面形式向我局反映，反馈意见电话：0395-7121061。</w:t>
      </w:r>
    </w:p>
    <w:tbl>
      <w:tblPr>
        <w:tblStyle w:val="6"/>
        <w:tblW w:w="13968" w:type="dxa"/>
        <w:tblInd w:w="103" w:type="dxa"/>
        <w:tblLayout w:type="fixed"/>
        <w:tblCellMar>
          <w:top w:w="0" w:type="dxa"/>
          <w:left w:w="0" w:type="dxa"/>
          <w:bottom w:w="0" w:type="dxa"/>
          <w:right w:w="0" w:type="dxa"/>
        </w:tblCellMar>
      </w:tblPr>
      <w:tblGrid>
        <w:gridCol w:w="299"/>
        <w:gridCol w:w="774"/>
        <w:gridCol w:w="402"/>
        <w:gridCol w:w="620"/>
        <w:gridCol w:w="606"/>
        <w:gridCol w:w="2126"/>
        <w:gridCol w:w="8079"/>
        <w:gridCol w:w="1062"/>
      </w:tblGrid>
      <w:tr>
        <w:tblPrEx>
          <w:tblLayout w:type="fixed"/>
          <w:tblCellMar>
            <w:top w:w="0" w:type="dxa"/>
            <w:left w:w="0" w:type="dxa"/>
            <w:bottom w:w="0" w:type="dxa"/>
            <w:right w:w="0" w:type="dxa"/>
          </w:tblCellMar>
        </w:tblPrEx>
        <w:trPr>
          <w:trHeight w:val="269" w:hRule="atLeast"/>
        </w:trPr>
        <w:tc>
          <w:tcPr>
            <w:tcW w:w="299"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rPr>
                <w:rFonts w:ascii="‘Times New Roman‘" w:hAnsi="宋体" w:eastAsia="‘Times New Roman‘" w:cs="宋体"/>
                <w:b/>
                <w:bCs/>
                <w:color w:val="000000"/>
                <w:kern w:val="0"/>
                <w:szCs w:val="21"/>
              </w:rPr>
            </w:pPr>
            <w:r>
              <w:rPr>
                <w:rFonts w:hint="eastAsia" w:ascii="‘Times New Roman‘" w:hAnsi="宋体" w:eastAsia="‘Times New Roman‘" w:cs="宋体"/>
                <w:b/>
                <w:bCs/>
                <w:color w:val="000000"/>
                <w:kern w:val="0"/>
                <w:szCs w:val="21"/>
              </w:rPr>
              <w:t>序号</w:t>
            </w:r>
          </w:p>
        </w:tc>
        <w:tc>
          <w:tcPr>
            <w:tcW w:w="774" w:type="dxa"/>
            <w:tcBorders>
              <w:top w:val="single" w:color="000000" w:sz="4" w:space="0"/>
              <w:left w:val="nil"/>
              <w:bottom w:val="single" w:color="000000" w:sz="4" w:space="0"/>
              <w:right w:val="single" w:color="000000" w:sz="4" w:space="0"/>
            </w:tcBorders>
            <w:vAlign w:val="center"/>
          </w:tcPr>
          <w:p>
            <w:pPr>
              <w:widowControl/>
              <w:snapToGrid w:val="0"/>
              <w:jc w:val="center"/>
              <w:rPr>
                <w:rFonts w:ascii="‘Times New Roman‘" w:hAnsi="宋体" w:eastAsia="‘Times New Roman‘" w:cs="宋体"/>
                <w:b/>
                <w:bCs/>
                <w:color w:val="000000"/>
                <w:kern w:val="0"/>
                <w:szCs w:val="21"/>
              </w:rPr>
            </w:pPr>
            <w:r>
              <w:rPr>
                <w:rFonts w:hint="eastAsia" w:ascii="‘Times New Roman‘" w:hAnsi="宋体" w:eastAsia="‘Times New Roman‘" w:cs="宋体"/>
                <w:b/>
                <w:bCs/>
                <w:color w:val="000000"/>
                <w:kern w:val="0"/>
                <w:szCs w:val="21"/>
              </w:rPr>
              <w:t>项目名称</w:t>
            </w:r>
          </w:p>
        </w:tc>
        <w:tc>
          <w:tcPr>
            <w:tcW w:w="402" w:type="dxa"/>
            <w:tcBorders>
              <w:top w:val="single" w:color="000000" w:sz="4" w:space="0"/>
              <w:left w:val="nil"/>
              <w:bottom w:val="single" w:color="000000" w:sz="4" w:space="0"/>
              <w:right w:val="single" w:color="000000" w:sz="4" w:space="0"/>
            </w:tcBorders>
            <w:vAlign w:val="center"/>
          </w:tcPr>
          <w:p>
            <w:pPr>
              <w:widowControl/>
              <w:snapToGrid w:val="0"/>
              <w:jc w:val="center"/>
              <w:rPr>
                <w:rFonts w:ascii="‘Times New Roman‘" w:hAnsi="宋体" w:eastAsia="‘Times New Roman‘" w:cs="宋体"/>
                <w:b/>
                <w:bCs/>
                <w:color w:val="000000"/>
                <w:kern w:val="0"/>
                <w:szCs w:val="21"/>
              </w:rPr>
            </w:pPr>
            <w:r>
              <w:rPr>
                <w:rFonts w:hint="eastAsia" w:ascii="‘Times New Roman‘" w:hAnsi="宋体" w:eastAsia="‘Times New Roman‘" w:cs="宋体"/>
                <w:b/>
                <w:bCs/>
                <w:color w:val="000000"/>
                <w:kern w:val="0"/>
                <w:szCs w:val="21"/>
              </w:rPr>
              <w:t>环评</w:t>
            </w:r>
          </w:p>
          <w:p>
            <w:pPr>
              <w:widowControl/>
              <w:snapToGrid w:val="0"/>
              <w:jc w:val="center"/>
              <w:rPr>
                <w:rFonts w:ascii="‘Times New Roman‘" w:hAnsi="宋体" w:eastAsia="‘Times New Roman‘" w:cs="宋体"/>
                <w:b/>
                <w:bCs/>
                <w:color w:val="000000"/>
                <w:kern w:val="0"/>
                <w:szCs w:val="21"/>
              </w:rPr>
            </w:pPr>
            <w:r>
              <w:rPr>
                <w:rFonts w:hint="eastAsia" w:ascii="‘Times New Roman‘" w:hAnsi="宋体" w:eastAsia="‘Times New Roman‘" w:cs="宋体"/>
                <w:b/>
                <w:bCs/>
                <w:color w:val="000000"/>
                <w:kern w:val="0"/>
                <w:szCs w:val="21"/>
              </w:rPr>
              <w:t>类别</w:t>
            </w:r>
          </w:p>
        </w:tc>
        <w:tc>
          <w:tcPr>
            <w:tcW w:w="620" w:type="dxa"/>
            <w:tcBorders>
              <w:top w:val="single" w:color="000000" w:sz="4" w:space="0"/>
              <w:left w:val="nil"/>
              <w:bottom w:val="single" w:color="000000" w:sz="4" w:space="0"/>
              <w:right w:val="single" w:color="000000" w:sz="4" w:space="0"/>
            </w:tcBorders>
            <w:vAlign w:val="center"/>
          </w:tcPr>
          <w:p>
            <w:pPr>
              <w:widowControl/>
              <w:snapToGrid w:val="0"/>
              <w:jc w:val="center"/>
              <w:rPr>
                <w:rFonts w:ascii="‘Times New Roman‘" w:hAnsi="宋体" w:eastAsia="‘Times New Roman‘" w:cs="宋体"/>
                <w:b/>
                <w:bCs/>
                <w:color w:val="000000"/>
                <w:kern w:val="0"/>
                <w:szCs w:val="21"/>
              </w:rPr>
            </w:pPr>
            <w:r>
              <w:rPr>
                <w:rFonts w:hint="eastAsia" w:ascii="‘Times New Roman‘" w:hAnsi="宋体" w:eastAsia="‘Times New Roman‘" w:cs="宋体"/>
                <w:b/>
                <w:bCs/>
                <w:color w:val="000000"/>
                <w:kern w:val="0"/>
                <w:szCs w:val="21"/>
              </w:rPr>
              <w:t>环评</w:t>
            </w:r>
          </w:p>
          <w:p>
            <w:pPr>
              <w:widowControl/>
              <w:snapToGrid w:val="0"/>
              <w:jc w:val="center"/>
              <w:rPr>
                <w:rFonts w:ascii="‘Times New Roman‘" w:hAnsi="宋体" w:eastAsia="‘Times New Roman‘" w:cs="宋体"/>
                <w:b/>
                <w:bCs/>
                <w:color w:val="000000"/>
                <w:kern w:val="0"/>
                <w:szCs w:val="21"/>
              </w:rPr>
            </w:pPr>
            <w:r>
              <w:rPr>
                <w:rFonts w:hint="eastAsia" w:ascii="‘Times New Roman‘" w:hAnsi="宋体" w:eastAsia="‘Times New Roman‘" w:cs="宋体"/>
                <w:b/>
                <w:bCs/>
                <w:color w:val="000000"/>
                <w:kern w:val="0"/>
                <w:szCs w:val="21"/>
              </w:rPr>
              <w:t>机构</w:t>
            </w:r>
          </w:p>
        </w:tc>
        <w:tc>
          <w:tcPr>
            <w:tcW w:w="606" w:type="dxa"/>
            <w:tcBorders>
              <w:top w:val="single" w:color="000000" w:sz="4" w:space="0"/>
              <w:left w:val="nil"/>
              <w:bottom w:val="single" w:color="000000" w:sz="4" w:space="0"/>
              <w:right w:val="single" w:color="000000" w:sz="4" w:space="0"/>
            </w:tcBorders>
            <w:vAlign w:val="center"/>
          </w:tcPr>
          <w:p>
            <w:pPr>
              <w:widowControl/>
              <w:snapToGrid w:val="0"/>
              <w:jc w:val="center"/>
              <w:rPr>
                <w:rFonts w:ascii="‘Times New Roman‘" w:hAnsi="宋体" w:eastAsia="‘Times New Roman‘" w:cs="宋体"/>
                <w:b/>
                <w:bCs/>
                <w:color w:val="000000"/>
                <w:kern w:val="0"/>
                <w:szCs w:val="21"/>
              </w:rPr>
            </w:pPr>
            <w:r>
              <w:rPr>
                <w:rFonts w:hint="eastAsia" w:ascii="‘Times New Roman‘" w:hAnsi="宋体" w:eastAsia="‘Times New Roman‘" w:cs="宋体"/>
                <w:b/>
                <w:bCs/>
                <w:color w:val="000000"/>
                <w:kern w:val="0"/>
                <w:szCs w:val="21"/>
              </w:rPr>
              <w:t>建设</w:t>
            </w:r>
          </w:p>
          <w:p>
            <w:pPr>
              <w:widowControl/>
              <w:snapToGrid w:val="0"/>
              <w:jc w:val="center"/>
              <w:rPr>
                <w:rFonts w:ascii="‘Times New Roman‘" w:hAnsi="宋体" w:eastAsia="‘Times New Roman‘" w:cs="宋体"/>
                <w:b/>
                <w:bCs/>
                <w:color w:val="000000"/>
                <w:kern w:val="0"/>
                <w:szCs w:val="21"/>
              </w:rPr>
            </w:pPr>
            <w:r>
              <w:rPr>
                <w:rFonts w:hint="eastAsia" w:ascii="‘Times New Roman‘" w:hAnsi="宋体" w:eastAsia="‘Times New Roman‘" w:cs="宋体"/>
                <w:b/>
                <w:bCs/>
                <w:color w:val="000000"/>
                <w:kern w:val="0"/>
                <w:szCs w:val="21"/>
              </w:rPr>
              <w:t>地点</w:t>
            </w:r>
          </w:p>
        </w:tc>
        <w:tc>
          <w:tcPr>
            <w:tcW w:w="2126" w:type="dxa"/>
            <w:tcBorders>
              <w:top w:val="single" w:color="000000" w:sz="4" w:space="0"/>
              <w:left w:val="nil"/>
              <w:bottom w:val="single" w:color="000000" w:sz="4" w:space="0"/>
              <w:right w:val="single" w:color="000000" w:sz="4" w:space="0"/>
            </w:tcBorders>
            <w:vAlign w:val="center"/>
          </w:tcPr>
          <w:p>
            <w:pPr>
              <w:widowControl/>
              <w:snapToGrid w:val="0"/>
              <w:jc w:val="center"/>
              <w:rPr>
                <w:rFonts w:ascii="‘Times New Roman‘" w:hAnsi="宋体" w:eastAsia="‘Times New Roman‘" w:cs="宋体"/>
                <w:b/>
                <w:bCs/>
                <w:color w:val="000000"/>
                <w:kern w:val="0"/>
                <w:szCs w:val="21"/>
              </w:rPr>
            </w:pPr>
            <w:r>
              <w:rPr>
                <w:rFonts w:hint="eastAsia" w:ascii="‘Times New Roman‘" w:hAnsi="宋体" w:eastAsia="‘Times New Roman‘" w:cs="宋体"/>
                <w:b/>
                <w:bCs/>
                <w:color w:val="000000"/>
                <w:kern w:val="0"/>
                <w:szCs w:val="21"/>
              </w:rPr>
              <w:t>建设项目</w:t>
            </w:r>
          </w:p>
          <w:p>
            <w:pPr>
              <w:widowControl/>
              <w:snapToGrid w:val="0"/>
              <w:jc w:val="center"/>
              <w:rPr>
                <w:rFonts w:ascii="‘Times New Roman‘" w:hAnsi="宋体" w:eastAsia="‘Times New Roman‘" w:cs="宋体"/>
                <w:b/>
                <w:bCs/>
                <w:color w:val="000000"/>
                <w:kern w:val="0"/>
                <w:szCs w:val="21"/>
              </w:rPr>
            </w:pPr>
            <w:r>
              <w:rPr>
                <w:rFonts w:hint="eastAsia" w:ascii="‘Times New Roman‘" w:hAnsi="宋体" w:eastAsia="‘Times New Roman‘" w:cs="宋体"/>
                <w:b/>
                <w:bCs/>
                <w:color w:val="000000"/>
                <w:kern w:val="0"/>
                <w:szCs w:val="21"/>
              </w:rPr>
              <w:t>概况</w:t>
            </w:r>
          </w:p>
        </w:tc>
        <w:tc>
          <w:tcPr>
            <w:tcW w:w="8079" w:type="dxa"/>
            <w:tcBorders>
              <w:top w:val="single" w:color="000000" w:sz="4" w:space="0"/>
              <w:left w:val="nil"/>
              <w:bottom w:val="single" w:color="000000" w:sz="4" w:space="0"/>
              <w:right w:val="single" w:color="000000" w:sz="4" w:space="0"/>
            </w:tcBorders>
            <w:vAlign w:val="center"/>
          </w:tcPr>
          <w:p>
            <w:pPr>
              <w:widowControl/>
              <w:snapToGrid w:val="0"/>
              <w:jc w:val="center"/>
              <w:rPr>
                <w:rFonts w:ascii="‘Times New Roman‘" w:hAnsi="宋体" w:eastAsia="‘Times New Roman‘" w:cs="宋体"/>
                <w:b/>
                <w:bCs/>
                <w:color w:val="000000"/>
                <w:kern w:val="0"/>
                <w:szCs w:val="21"/>
              </w:rPr>
            </w:pPr>
            <w:r>
              <w:rPr>
                <w:rFonts w:hint="eastAsia" w:ascii="‘Times New Roman‘" w:hAnsi="宋体" w:eastAsia="‘Times New Roman‘" w:cs="宋体"/>
                <w:b/>
                <w:bCs/>
                <w:color w:val="000000"/>
                <w:kern w:val="0"/>
                <w:szCs w:val="21"/>
              </w:rPr>
              <w:t>主要环境影响及预防或减轻不良环境影响的对策和措施</w:t>
            </w:r>
          </w:p>
        </w:tc>
        <w:tc>
          <w:tcPr>
            <w:tcW w:w="1062" w:type="dxa"/>
            <w:tcBorders>
              <w:top w:val="single" w:color="000000" w:sz="4" w:space="0"/>
              <w:left w:val="nil"/>
              <w:bottom w:val="single" w:color="000000" w:sz="4" w:space="0"/>
              <w:right w:val="single" w:color="000000" w:sz="4" w:space="0"/>
            </w:tcBorders>
            <w:vAlign w:val="center"/>
          </w:tcPr>
          <w:p>
            <w:pPr>
              <w:widowControl/>
              <w:snapToGrid w:val="0"/>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公众参与</w:t>
            </w:r>
          </w:p>
        </w:tc>
      </w:tr>
      <w:tr>
        <w:tblPrEx>
          <w:tblLayout w:type="fixed"/>
          <w:tblCellMar>
            <w:top w:w="0" w:type="dxa"/>
            <w:left w:w="0" w:type="dxa"/>
            <w:bottom w:w="0" w:type="dxa"/>
            <w:right w:w="0" w:type="dxa"/>
          </w:tblCellMar>
        </w:tblPrEx>
        <w:trPr>
          <w:trHeight w:val="4476" w:hRule="atLeast"/>
        </w:trPr>
        <w:tc>
          <w:tcPr>
            <w:tcW w:w="299" w:type="dxa"/>
            <w:tcBorders>
              <w:top w:val="single" w:color="000000" w:sz="4" w:space="0"/>
              <w:left w:val="single" w:color="000000" w:sz="4" w:space="0"/>
              <w:bottom w:val="single" w:color="000000" w:sz="4" w:space="0"/>
              <w:right w:val="single" w:color="000000" w:sz="4" w:space="0"/>
            </w:tcBorders>
            <w:vAlign w:val="center"/>
          </w:tcPr>
          <w:p>
            <w:pPr>
              <w:widowControl/>
              <w:snapToGrid w:val="0"/>
              <w:jc w:val="center"/>
              <w:rPr>
                <w:rFonts w:ascii="‘Times New Roman‘" w:hAnsi="宋体" w:eastAsia="‘Times New Roman‘" w:cs="宋体"/>
                <w:color w:val="000000"/>
                <w:kern w:val="0"/>
                <w:szCs w:val="21"/>
              </w:rPr>
            </w:pPr>
            <w:r>
              <w:rPr>
                <w:rFonts w:hint="eastAsia" w:ascii="‘Times New Roman‘" w:hAnsi="宋体" w:eastAsia="‘Times New Roman‘" w:cs="宋体"/>
                <w:color w:val="000000"/>
                <w:kern w:val="0"/>
                <w:szCs w:val="21"/>
              </w:rPr>
              <w:t>1</w:t>
            </w:r>
          </w:p>
        </w:tc>
        <w:tc>
          <w:tcPr>
            <w:tcW w:w="774" w:type="dxa"/>
            <w:tcBorders>
              <w:top w:val="single" w:color="000000" w:sz="4" w:space="0"/>
              <w:left w:val="nil"/>
              <w:bottom w:val="single" w:color="000000" w:sz="4" w:space="0"/>
              <w:right w:val="single" w:color="000000" w:sz="4" w:space="0"/>
            </w:tcBorders>
            <w:vAlign w:val="center"/>
          </w:tcPr>
          <w:p>
            <w:pPr>
              <w:widowControl/>
              <w:snapToGrid w:val="0"/>
              <w:jc w:val="center"/>
              <w:rPr>
                <w:rFonts w:ascii="‘Times New Roman‘" w:hAnsi="宋体" w:eastAsia="‘Times New Roman‘" w:cs="宋体"/>
                <w:kern w:val="0"/>
                <w:szCs w:val="21"/>
              </w:rPr>
            </w:pPr>
            <w:r>
              <w:rPr>
                <w:rFonts w:hint="eastAsia" w:ascii="宋体" w:hAnsi="宋体" w:eastAsia="宋体" w:cs="宋体"/>
                <w:b w:val="0"/>
                <w:bCs w:val="0"/>
                <w:color w:val="333333"/>
                <w:kern w:val="0"/>
                <w:sz w:val="21"/>
                <w:szCs w:val="21"/>
              </w:rPr>
              <w:t>舞阳县城市生活污水净化中心技改项目</w:t>
            </w:r>
          </w:p>
        </w:tc>
        <w:tc>
          <w:tcPr>
            <w:tcW w:w="402" w:type="dxa"/>
            <w:tcBorders>
              <w:top w:val="single" w:color="000000" w:sz="4" w:space="0"/>
              <w:left w:val="nil"/>
              <w:bottom w:val="single" w:color="000000" w:sz="4" w:space="0"/>
              <w:right w:val="single" w:color="000000" w:sz="4" w:space="0"/>
            </w:tcBorders>
            <w:vAlign w:val="center"/>
          </w:tcPr>
          <w:p>
            <w:pPr>
              <w:widowControl/>
              <w:snapToGrid w:val="0"/>
              <w:jc w:val="center"/>
              <w:rPr>
                <w:rFonts w:ascii="‘Times New Roman‘" w:hAnsi="宋体" w:eastAsia="‘Times New Roman‘" w:cs="宋体"/>
                <w:kern w:val="0"/>
                <w:szCs w:val="21"/>
              </w:rPr>
            </w:pPr>
            <w:r>
              <w:rPr>
                <w:rFonts w:hint="eastAsia" w:ascii="‘Times New Roman‘" w:hAnsi="宋体" w:eastAsia="‘Times New Roman‘" w:cs="宋体"/>
                <w:kern w:val="0"/>
                <w:szCs w:val="21"/>
              </w:rPr>
              <w:t>报告表</w:t>
            </w:r>
          </w:p>
        </w:tc>
        <w:tc>
          <w:tcPr>
            <w:tcW w:w="620" w:type="dxa"/>
            <w:tcBorders>
              <w:top w:val="single" w:color="000000" w:sz="4" w:space="0"/>
              <w:left w:val="nil"/>
              <w:bottom w:val="single" w:color="000000" w:sz="4" w:space="0"/>
              <w:right w:val="single" w:color="000000" w:sz="4" w:space="0"/>
            </w:tcBorders>
            <w:vAlign w:val="center"/>
          </w:tcPr>
          <w:p>
            <w:pPr>
              <w:widowControl/>
              <w:snapToGrid w:val="0"/>
              <w:jc w:val="center"/>
              <w:rPr>
                <w:rFonts w:hint="eastAsia" w:ascii="‘Times New Roman‘" w:hAnsi="宋体" w:eastAsia="‘Times New Roman‘" w:cs="宋体"/>
                <w:kern w:val="0"/>
                <w:szCs w:val="21"/>
                <w:lang w:eastAsia="zh-CN"/>
              </w:rPr>
            </w:pPr>
            <w:r>
              <w:rPr>
                <w:rFonts w:hint="eastAsia" w:ascii="‘Times New Roman‘" w:hAnsi="宋体" w:eastAsia="‘Times New Roman‘" w:cs="宋体"/>
                <w:kern w:val="0"/>
                <w:szCs w:val="21"/>
                <w:lang w:eastAsia="zh-CN"/>
              </w:rPr>
              <w:t>漯河咏蓝环境科技有限公司</w:t>
            </w:r>
          </w:p>
        </w:tc>
        <w:tc>
          <w:tcPr>
            <w:tcW w:w="606" w:type="dxa"/>
            <w:tcBorders>
              <w:top w:val="single" w:color="000000" w:sz="4" w:space="0"/>
              <w:left w:val="nil"/>
              <w:bottom w:val="single" w:color="000000" w:sz="4" w:space="0"/>
              <w:right w:val="single" w:color="000000" w:sz="4" w:space="0"/>
            </w:tcBorders>
            <w:vAlign w:val="center"/>
          </w:tcPr>
          <w:p>
            <w:pPr>
              <w:widowControl/>
              <w:snapToGrid w:val="0"/>
              <w:jc w:val="center"/>
              <w:rPr>
                <w:rFonts w:ascii="‘Times New Roman‘" w:hAnsi="宋体" w:eastAsia="‘Times New Roman‘" w:cs="宋体"/>
                <w:kern w:val="0"/>
                <w:szCs w:val="21"/>
              </w:rPr>
            </w:pPr>
            <w:r>
              <w:rPr>
                <w:rFonts w:hint="eastAsia" w:ascii="‘Times New Roman‘" w:hAnsi="宋体" w:eastAsia="‘Times New Roman‘" w:cs="宋体"/>
                <w:kern w:val="0"/>
                <w:szCs w:val="21"/>
              </w:rPr>
              <w:t>舞阳县舞泉镇解放路</w:t>
            </w:r>
          </w:p>
        </w:tc>
        <w:tc>
          <w:tcPr>
            <w:tcW w:w="2126" w:type="dxa"/>
            <w:tcBorders>
              <w:top w:val="single" w:color="000000" w:sz="4" w:space="0"/>
              <w:left w:val="nil"/>
              <w:bottom w:val="single" w:color="000000" w:sz="4" w:space="0"/>
              <w:right w:val="single" w:color="000000" w:sz="4" w:space="0"/>
            </w:tcBorders>
            <w:vAlign w:val="center"/>
          </w:tcPr>
          <w:p>
            <w:pPr>
              <w:widowControl/>
              <w:jc w:val="left"/>
              <w:rPr>
                <w:rFonts w:hint="eastAsia" w:ascii="‘Times New Roman‘" w:hAnsi="宋体" w:eastAsia="‘Times New Roman‘" w:cs="宋体"/>
                <w:color w:val="000000"/>
                <w:kern w:val="0"/>
                <w:szCs w:val="21"/>
              </w:rPr>
            </w:pPr>
            <w:r>
              <w:rPr>
                <w:rFonts w:hint="eastAsia" w:ascii="‘Times New Roman‘" w:hAnsi="宋体" w:eastAsia="‘Times New Roman‘" w:cs="宋体"/>
                <w:color w:val="000000"/>
                <w:kern w:val="0"/>
                <w:szCs w:val="21"/>
                <w:lang w:eastAsia="zh-CN"/>
              </w:rPr>
              <w:t>该项目</w:t>
            </w:r>
            <w:r>
              <w:rPr>
                <w:rFonts w:hint="eastAsia" w:ascii="‘Times New Roman‘" w:hAnsi="宋体" w:eastAsia="‘Times New Roman‘" w:cs="宋体"/>
                <w:color w:val="000000"/>
                <w:kern w:val="0"/>
                <w:szCs w:val="21"/>
              </w:rPr>
              <w:t>工程是在现有工程的基础上实施提标改造，新建 1 座高效沉淀池、1 座臭氧制备及加药间、1 座臭氧接触池；改造现状粗格栅及进水泵房、旋流沉砂池、CASS 生物池、废水调节池、污泥储池；鼓风机房及配电室等更换部分设施，提标改造后污水处理规模为 2 万 m3</w:t>
            </w:r>
          </w:p>
          <w:p>
            <w:pPr>
              <w:widowControl/>
              <w:jc w:val="left"/>
              <w:rPr>
                <w:rFonts w:ascii="‘Times New Roman‘" w:hAnsi="宋体" w:eastAsia="‘Times New Roman‘" w:cs="宋体"/>
                <w:color w:val="000000"/>
                <w:kern w:val="0"/>
                <w:szCs w:val="21"/>
              </w:rPr>
            </w:pPr>
            <w:r>
              <w:rPr>
                <w:rFonts w:hint="eastAsia" w:ascii="‘Times New Roman‘" w:hAnsi="宋体" w:eastAsia="‘Times New Roman‘" w:cs="宋体"/>
                <w:color w:val="000000"/>
                <w:kern w:val="0"/>
                <w:szCs w:val="21"/>
              </w:rPr>
              <w:t>/d。</w:t>
            </w:r>
          </w:p>
        </w:tc>
        <w:tc>
          <w:tcPr>
            <w:tcW w:w="8079" w:type="dxa"/>
            <w:tcBorders>
              <w:top w:val="single" w:color="000000" w:sz="4" w:space="0"/>
              <w:left w:val="nil"/>
              <w:bottom w:val="single" w:color="000000" w:sz="4" w:space="0"/>
              <w:right w:val="single" w:color="000000" w:sz="4" w:space="0"/>
            </w:tcBorders>
            <w:vAlign w:val="center"/>
          </w:tcPr>
          <w:p>
            <w:pPr>
              <w:widowControl/>
              <w:numPr>
                <w:ilvl w:val="0"/>
                <w:numId w:val="1"/>
              </w:numPr>
              <w:ind w:firstLine="420"/>
              <w:rPr>
                <w:rFonts w:hint="eastAsia" w:ascii="‘Times New Roman‘" w:hAnsi="宋体" w:eastAsia="‘Times New Roman‘" w:cs="宋体"/>
                <w:kern w:val="0"/>
                <w:szCs w:val="21"/>
              </w:rPr>
            </w:pPr>
            <w:r>
              <w:rPr>
                <w:rFonts w:hint="eastAsia" w:ascii="‘Times New Roman‘" w:hAnsi="宋体" w:eastAsia="‘Times New Roman‘" w:cs="宋体"/>
                <w:kern w:val="0"/>
                <w:szCs w:val="21"/>
              </w:rPr>
              <w:t>废水本次是在现有工程基础上实施提标改造，提标改造后，漯河市舞阳县城市生活污水净化中心收水范围保持不变，处理规模由 2.5 万 m3/d 调整为 2.0 万 m3/d。收集的废水采取“粗格栅及进水泵房+细格栅及旋流沉砂池+A2O-MBBR 单元+高效沉淀池+反硝化池+臭氧氧化池+接触消毒池”工艺处理后，经由厂区现有工程总排口排入三里河，排放各项污染因子满足《地表水环境质量标准（GB3838-2002）》中Ⅳ类水质标准，限定 COD≤30mg/L、氨氮≤1.5mg/L、总磷≤0.3mg/L、总氮≤10mg/L。提标改造完成后，舞阳县城市生活污水净化中心主要污染物 COD、氨氮、总氮总磷允许入河量分别为 219t/a、1095t/a、73t/a、2.19t/a，与提标改造前相比理论削减量分别为削减量分别为 237.25t/a、34.65t/a、63.9t/a、2.37t/a。本次工程的实施将对区域三里河水体水质起到进一步的改善作用。</w:t>
            </w:r>
          </w:p>
          <w:p>
            <w:pPr>
              <w:widowControl/>
              <w:numPr>
                <w:ilvl w:val="0"/>
                <w:numId w:val="1"/>
              </w:numPr>
              <w:ind w:left="0" w:leftChars="0" w:firstLine="420" w:firstLineChars="0"/>
              <w:rPr>
                <w:rFonts w:hint="eastAsia" w:ascii="‘Times New Roman‘" w:hAnsi="宋体" w:eastAsia="‘Times New Roman‘" w:cs="宋体"/>
                <w:kern w:val="0"/>
                <w:szCs w:val="21"/>
              </w:rPr>
            </w:pPr>
            <w:r>
              <w:rPr>
                <w:rFonts w:hint="eastAsia" w:ascii="‘Times New Roman‘" w:hAnsi="宋体" w:eastAsia="‘Times New Roman‘" w:cs="宋体"/>
                <w:kern w:val="0"/>
                <w:szCs w:val="21"/>
              </w:rPr>
              <w:t>废气城市污水处理工程恶臭主要产生在废水预处理、污泥处理及暂存等环节，均为无组织排放，核算氨、硫化氢排放量分别为 0.0025kg/h、0.022t/a；0.0001kg/h、0.0009t/a。采取绿化吸附除臭、污泥及时清运等除臭或抑臭措施，四厂界恶臭能够满足《城镇污水处理污染物排放标准》（GB18918-2002）表 4 二级标准限值要求，对周围大气环境影响较小。</w:t>
            </w:r>
          </w:p>
          <w:p>
            <w:pPr>
              <w:widowControl/>
              <w:numPr>
                <w:numId w:val="0"/>
              </w:numPr>
              <w:ind w:left="420" w:leftChars="0"/>
              <w:rPr>
                <w:rFonts w:hint="eastAsia" w:ascii="‘Times New Roman‘" w:hAnsi="宋体" w:eastAsia="‘Times New Roman‘" w:cs="宋体"/>
                <w:kern w:val="0"/>
                <w:szCs w:val="21"/>
              </w:rPr>
            </w:pPr>
            <w:r>
              <w:rPr>
                <w:rFonts w:hint="eastAsia" w:ascii="‘Times New Roman‘" w:hAnsi="宋体" w:eastAsia="‘Times New Roman‘" w:cs="宋体"/>
                <w:kern w:val="0"/>
                <w:szCs w:val="21"/>
              </w:rPr>
              <w:t>（3）噪声本工程新增主要噪声源为污水泵、污泥泵、鼓风机、曝气器等，源强为 85～90dB(A)，拟采用隔声、减振等治理措施，工程噪声经距离衰减及厂界围墙屏蔽效应后，四周厂界昼夜噪声预测值均能满足《工业企业厂界环境噪声排放标准》2 类标准要求。</w:t>
            </w:r>
          </w:p>
          <w:p>
            <w:pPr>
              <w:widowControl/>
              <w:numPr>
                <w:numId w:val="0"/>
              </w:numPr>
              <w:ind w:left="420" w:leftChars="0" w:firstLine="210" w:firstLineChars="100"/>
              <w:rPr>
                <w:rFonts w:ascii="‘Times New Roman‘" w:hAnsi="宋体" w:eastAsia="‘Times New Roman‘" w:cs="宋体"/>
                <w:kern w:val="0"/>
                <w:szCs w:val="21"/>
              </w:rPr>
            </w:pPr>
            <w:r>
              <w:rPr>
                <w:rFonts w:hint="eastAsia" w:ascii="‘Times New Roman‘" w:hAnsi="宋体" w:eastAsia="‘Times New Roman‘" w:cs="宋体"/>
                <w:kern w:val="0"/>
                <w:szCs w:val="21"/>
              </w:rPr>
              <w:t>（4）固体废物分析污水处理厂固体废物包括格栅栅渣、沉砂池沉砂、脱水泥饼及职工生活垃圾。污水处理厂内设置垃圾收集箱，格栅附近设置栅渣收集箱，栅渣、沉砂、生活垃圾分类集中收集，由环卫部门统一清运至舞阳县垃圾填埋场处置。污泥为污水处理厂的主要固体废物，提标建成后通过污泥泵将二沉池污泥输送至二污，依托二污板框压滤机及投加石灰进一步干化将含水率降至 60%，送至漯河市污泥处理厂处</w:t>
            </w:r>
          </w:p>
        </w:tc>
        <w:tc>
          <w:tcPr>
            <w:tcW w:w="1062"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ascii="‘Times New Roman‘" w:hAnsi="宋体" w:eastAsia="‘Times New Roman‘" w:cs="宋体"/>
                <w:kern w:val="0"/>
                <w:szCs w:val="21"/>
              </w:rPr>
            </w:pPr>
            <w:r>
              <w:rPr>
                <w:rFonts w:hint="eastAsia" w:ascii="‘宋体‘" w:hAnsi="宋体" w:eastAsia="‘宋体‘" w:cs="宋体"/>
                <w:kern w:val="0"/>
                <w:szCs w:val="21"/>
              </w:rPr>
              <w:t>/</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 w:name="‘Times New Roman‘">
    <w:altName w:val="宋体"/>
    <w:panose1 w:val="00000000000000000000"/>
    <w:charset w:val="86"/>
    <w:family w:val="roman"/>
    <w:pitch w:val="default"/>
    <w:sig w:usb0="00000000" w:usb1="00000000" w:usb2="00000010" w:usb3="00000000" w:csb0="00040000" w:csb1="00000000"/>
  </w:font>
  <w:font w:name="‘仿宋_GB2312‘">
    <w:altName w:val="宋体"/>
    <w:panose1 w:val="00000000000000000000"/>
    <w:charset w:val="86"/>
    <w:family w:val="roman"/>
    <w:pitch w:val="default"/>
    <w:sig w:usb0="00000000" w:usb1="00000000" w:usb2="00000010" w:usb3="00000000" w:csb0="00040000" w:csb1="00000000"/>
  </w:font>
  <w:font w:name="‘宋体‘">
    <w:altName w:val="宋体"/>
    <w:panose1 w:val="00000000000000000000"/>
    <w:charset w:val="86"/>
    <w:family w:val="roman"/>
    <w:pitch w:val="default"/>
    <w:sig w:usb0="00000000" w:usb1="00000000" w:usb2="00000010" w:usb3="00000000" w:csb0="00040000" w:csb1="00000000"/>
  </w:font>
  <w:font w:name="‘Times New Roman‘">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8941AA"/>
    <w:multiLevelType w:val="singleLevel"/>
    <w:tmpl w:val="8A8941A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34F"/>
    <w:rsid w:val="0002020D"/>
    <w:rsid w:val="00036E5E"/>
    <w:rsid w:val="000B6A3B"/>
    <w:rsid w:val="00122A9A"/>
    <w:rsid w:val="00161069"/>
    <w:rsid w:val="001B53A0"/>
    <w:rsid w:val="00221510"/>
    <w:rsid w:val="002367D9"/>
    <w:rsid w:val="0027600B"/>
    <w:rsid w:val="00284263"/>
    <w:rsid w:val="002D2429"/>
    <w:rsid w:val="002E362C"/>
    <w:rsid w:val="00322515"/>
    <w:rsid w:val="003411F3"/>
    <w:rsid w:val="00363DB2"/>
    <w:rsid w:val="00366AB3"/>
    <w:rsid w:val="0037383B"/>
    <w:rsid w:val="00391C67"/>
    <w:rsid w:val="00395463"/>
    <w:rsid w:val="003B5C84"/>
    <w:rsid w:val="003C2094"/>
    <w:rsid w:val="004316F1"/>
    <w:rsid w:val="0044622C"/>
    <w:rsid w:val="00480676"/>
    <w:rsid w:val="004A0D8B"/>
    <w:rsid w:val="004C5301"/>
    <w:rsid w:val="00523FBA"/>
    <w:rsid w:val="005622C5"/>
    <w:rsid w:val="00576B70"/>
    <w:rsid w:val="00591677"/>
    <w:rsid w:val="005D6B32"/>
    <w:rsid w:val="005E071B"/>
    <w:rsid w:val="00637785"/>
    <w:rsid w:val="006C7CF9"/>
    <w:rsid w:val="006E020D"/>
    <w:rsid w:val="006E72D2"/>
    <w:rsid w:val="007127D1"/>
    <w:rsid w:val="0073395E"/>
    <w:rsid w:val="00836BDE"/>
    <w:rsid w:val="00847197"/>
    <w:rsid w:val="008960D2"/>
    <w:rsid w:val="009442C8"/>
    <w:rsid w:val="00980260"/>
    <w:rsid w:val="00985D7F"/>
    <w:rsid w:val="009B0837"/>
    <w:rsid w:val="009B3290"/>
    <w:rsid w:val="009C0BC8"/>
    <w:rsid w:val="009F50C0"/>
    <w:rsid w:val="00A37C94"/>
    <w:rsid w:val="00A86001"/>
    <w:rsid w:val="00AA0E66"/>
    <w:rsid w:val="00AD4106"/>
    <w:rsid w:val="00AF3E4A"/>
    <w:rsid w:val="00B27204"/>
    <w:rsid w:val="00B44D05"/>
    <w:rsid w:val="00C33902"/>
    <w:rsid w:val="00C37560"/>
    <w:rsid w:val="00D54C58"/>
    <w:rsid w:val="00D632EC"/>
    <w:rsid w:val="00DA38F0"/>
    <w:rsid w:val="00DA5C62"/>
    <w:rsid w:val="00E478B0"/>
    <w:rsid w:val="00E478C7"/>
    <w:rsid w:val="00E61E3D"/>
    <w:rsid w:val="00E755EA"/>
    <w:rsid w:val="00EE4F50"/>
    <w:rsid w:val="00F13454"/>
    <w:rsid w:val="00F4034F"/>
    <w:rsid w:val="00F66B7C"/>
    <w:rsid w:val="00F8134C"/>
    <w:rsid w:val="00F84CDC"/>
    <w:rsid w:val="00F969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11"/>
    <w:unhideWhenUsed/>
    <w:qFormat/>
    <w:uiPriority w:val="99"/>
    <w:pPr>
      <w:tabs>
        <w:tab w:val="center" w:pos="4153"/>
        <w:tab w:val="right" w:pos="8306"/>
      </w:tabs>
      <w:snapToGrid w:val="0"/>
      <w:jc w:val="left"/>
    </w:pPr>
    <w:rPr>
      <w:sz w:val="18"/>
      <w:szCs w:val="18"/>
    </w:rPr>
  </w:style>
  <w:style w:type="paragraph" w:styleId="3">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7">
    <w:name w:val="style121"/>
    <w:basedOn w:val="5"/>
    <w:uiPriority w:val="0"/>
    <w:rPr>
      <w:sz w:val="18"/>
      <w:szCs w:val="18"/>
    </w:rPr>
  </w:style>
  <w:style w:type="paragraph" w:customStyle="1" w:styleId="8">
    <w:name w:val="p0"/>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
    <w:name w:val="p15"/>
    <w:basedOn w:val="1"/>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10">
    <w:name w:val="页眉 Char"/>
    <w:basedOn w:val="5"/>
    <w:link w:val="3"/>
    <w:qFormat/>
    <w:uiPriority w:val="99"/>
    <w:rPr>
      <w:sz w:val="18"/>
      <w:szCs w:val="18"/>
    </w:rPr>
  </w:style>
  <w:style w:type="character" w:customStyle="1" w:styleId="11">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135</Words>
  <Characters>770</Characters>
  <Lines>6</Lines>
  <Paragraphs>1</Paragraphs>
  <TotalTime>6</TotalTime>
  <ScaleCrop>false</ScaleCrop>
  <LinksUpToDate>false</LinksUpToDate>
  <CharactersWithSpaces>904</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2018-02-01T01:44:00Z</dcterms:created>
  <dc:creator>wang</dc:creator>
  <cp:lastModifiedBy>闫姝妺</cp:lastModifiedBy>
  <dcterms:modified xsi:type="dcterms:W3CDTF">2019-11-25T06:11:03Z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